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59A250">
      <w:pPr>
        <w:spacing w:after="0" w:line="240" w:lineRule="auto"/>
        <w:ind w:left="1" w:hanging="3"/>
        <w:jc w:val="center"/>
        <w:rPr>
          <w:b/>
          <w:sz w:val="28"/>
          <w:szCs w:val="28"/>
        </w:rPr>
      </w:pPr>
      <w:bookmarkStart w:id="5" w:name="_GoBack"/>
      <w:bookmarkEnd w:id="5"/>
      <w:r>
        <w:rPr>
          <w:b/>
          <w:sz w:val="28"/>
          <w:szCs w:val="28"/>
        </w:rPr>
        <w:t>Optimization of Growth Media, Antibiofilm Evaluation</w:t>
      </w:r>
      <w:r>
        <w:rPr>
          <w:b/>
          <w:sz w:val="28"/>
          <w:szCs w:val="28"/>
          <w:lang w:val="en-US"/>
        </w:rPr>
        <w:t>,</w:t>
      </w:r>
      <w:r>
        <w:rPr>
          <w:b/>
          <w:sz w:val="28"/>
          <w:szCs w:val="28"/>
        </w:rPr>
        <w:t xml:space="preserve"> and Taxonomic Identification of </w:t>
      </w:r>
      <w:r>
        <w:rPr>
          <w:b/>
          <w:iCs/>
          <w:sz w:val="28"/>
          <w:szCs w:val="28"/>
        </w:rPr>
        <w:t>Symbiotic Bacteria from the Sea Anemone</w:t>
      </w:r>
      <w:r>
        <w:rPr>
          <w:b/>
          <w:i/>
          <w:sz w:val="28"/>
          <w:szCs w:val="28"/>
        </w:rPr>
        <w:t xml:space="preserve"> Heteractis magnifica</w:t>
      </w:r>
    </w:p>
    <w:p w14:paraId="03FDB893">
      <w:pPr>
        <w:spacing w:after="0" w:line="240" w:lineRule="auto"/>
        <w:ind w:hanging="2"/>
        <w:jc w:val="center"/>
        <w:rPr>
          <w:sz w:val="20"/>
          <w:szCs w:val="20"/>
        </w:rPr>
      </w:pPr>
    </w:p>
    <w:p w14:paraId="0746B210">
      <w:pPr>
        <w:spacing w:after="0" w:line="240" w:lineRule="auto"/>
        <w:ind w:hanging="2"/>
        <w:jc w:val="center"/>
        <w:rPr>
          <w:sz w:val="24"/>
          <w:szCs w:val="24"/>
        </w:rPr>
      </w:pPr>
      <w:r>
        <w:rPr>
          <w:sz w:val="24"/>
          <w:szCs w:val="24"/>
        </w:rPr>
        <w:t>Kania Salsabila</w:t>
      </w:r>
      <w:r>
        <w:rPr>
          <w:sz w:val="24"/>
          <w:szCs w:val="24"/>
          <w:vertAlign w:val="superscript"/>
        </w:rPr>
        <w:t>1</w:t>
      </w:r>
      <w:r>
        <w:rPr>
          <w:sz w:val="24"/>
          <w:szCs w:val="24"/>
        </w:rPr>
        <w:t>, Ela Novianti</w:t>
      </w:r>
      <w:r>
        <w:rPr>
          <w:sz w:val="24"/>
          <w:szCs w:val="24"/>
          <w:vertAlign w:val="superscript"/>
        </w:rPr>
        <w:t>2*</w:t>
      </w:r>
      <w:r>
        <w:rPr>
          <w:sz w:val="24"/>
          <w:szCs w:val="24"/>
        </w:rPr>
        <w:t>, and Syamsul Falah</w:t>
      </w:r>
      <w:r>
        <w:rPr>
          <w:sz w:val="24"/>
          <w:szCs w:val="24"/>
          <w:vertAlign w:val="superscript"/>
        </w:rPr>
        <w:t>1</w:t>
      </w:r>
    </w:p>
    <w:p w14:paraId="3F327AFF">
      <w:pPr>
        <w:spacing w:after="0" w:line="240" w:lineRule="auto"/>
        <w:ind w:hanging="2"/>
        <w:jc w:val="center"/>
        <w:rPr>
          <w:sz w:val="20"/>
          <w:szCs w:val="20"/>
        </w:rPr>
      </w:pPr>
    </w:p>
    <w:p w14:paraId="79CA8154">
      <w:pPr>
        <w:spacing w:after="0" w:line="240" w:lineRule="auto"/>
        <w:ind w:hanging="2"/>
        <w:jc w:val="center"/>
        <w:rPr>
          <w:lang w:val="en"/>
        </w:rPr>
      </w:pPr>
      <w:r>
        <w:rPr>
          <w:vertAlign w:val="superscript"/>
        </w:rPr>
        <w:t>1</w:t>
      </w:r>
      <w:r>
        <w:rPr>
          <w:lang w:val="en"/>
        </w:rPr>
        <w:t>Department of Biochemistry, Faculty of Mathematics and Natural Sciences, IPB University,</w:t>
      </w:r>
    </w:p>
    <w:p w14:paraId="6FBA0C85">
      <w:pPr>
        <w:spacing w:after="0" w:line="240" w:lineRule="auto"/>
        <w:ind w:hanging="2"/>
        <w:jc w:val="center"/>
        <w:rPr>
          <w:lang w:val="en-US"/>
        </w:rPr>
      </w:pPr>
      <w:r>
        <w:rPr>
          <w:lang w:val="en"/>
        </w:rPr>
        <w:t>IPB Dramaga Campus, Bogor, West Java</w:t>
      </w:r>
      <w:r>
        <w:rPr>
          <w:lang w:val="en-US"/>
        </w:rPr>
        <w:t xml:space="preserve"> </w:t>
      </w:r>
      <w:r>
        <w:rPr>
          <w:lang w:val="en"/>
        </w:rPr>
        <w:t xml:space="preserve">16680, Indonesia </w:t>
      </w:r>
    </w:p>
    <w:p w14:paraId="2B88DD9C">
      <w:pPr>
        <w:spacing w:after="0" w:line="240" w:lineRule="auto"/>
        <w:ind w:left="2" w:hanging="2"/>
        <w:jc w:val="center"/>
      </w:pPr>
      <w:r>
        <w:rPr>
          <w:vertAlign w:val="superscript"/>
        </w:rPr>
        <w:t>2</w:t>
      </w:r>
      <w:r>
        <w:t>Research Center for Genetic Engineering, National Research and Innovation Agency (BRIN), Jl. Raya Jakarta Bogor K</w:t>
      </w:r>
      <w:r>
        <w:rPr>
          <w:lang w:val="en-US"/>
        </w:rPr>
        <w:t>m.</w:t>
      </w:r>
      <w:r>
        <w:t xml:space="preserve"> 46, Bogor, West Java 16911, Indonesia</w:t>
      </w:r>
    </w:p>
    <w:p w14:paraId="386A1227">
      <w:pPr>
        <w:spacing w:after="0" w:line="240" w:lineRule="auto"/>
        <w:ind w:hanging="2"/>
        <w:jc w:val="center"/>
        <w:rPr>
          <w:sz w:val="20"/>
          <w:szCs w:val="20"/>
        </w:rPr>
      </w:pPr>
    </w:p>
    <w:p w14:paraId="57A20364">
      <w:pPr>
        <w:spacing w:after="0" w:line="240" w:lineRule="auto"/>
        <w:ind w:hanging="2"/>
        <w:jc w:val="center"/>
        <w:rPr>
          <w:sz w:val="20"/>
          <w:szCs w:val="20"/>
        </w:rPr>
      </w:pPr>
      <w:r>
        <w:rPr>
          <w:sz w:val="20"/>
          <w:szCs w:val="20"/>
        </w:rPr>
        <w:t xml:space="preserve">*Corresponding author: </w:t>
      </w:r>
      <w:r>
        <w:rPr>
          <w:sz w:val="20"/>
          <w:szCs w:val="20"/>
          <w:lang w:val="en-US"/>
        </w:rPr>
        <w:t>ela</w:t>
      </w:r>
      <w:r>
        <w:rPr>
          <w:sz w:val="20"/>
          <w:szCs w:val="20"/>
        </w:rPr>
        <w:t>.</w:t>
      </w:r>
      <w:r>
        <w:rPr>
          <w:sz w:val="20"/>
          <w:szCs w:val="20"/>
          <w:lang w:val="en-US"/>
        </w:rPr>
        <w:t>novianti</w:t>
      </w:r>
      <w:r>
        <w:rPr>
          <w:sz w:val="20"/>
          <w:szCs w:val="20"/>
        </w:rPr>
        <w:t>@</w:t>
      </w:r>
      <w:r>
        <w:rPr>
          <w:sz w:val="20"/>
          <w:szCs w:val="20"/>
          <w:lang w:val="en-US"/>
        </w:rPr>
        <w:t>brin</w:t>
      </w:r>
      <w:r>
        <w:rPr>
          <w:sz w:val="20"/>
          <w:szCs w:val="20"/>
        </w:rPr>
        <w:t>.</w:t>
      </w:r>
      <w:r>
        <w:rPr>
          <w:sz w:val="20"/>
          <w:szCs w:val="20"/>
          <w:lang w:val="en-US"/>
        </w:rPr>
        <w:t>go</w:t>
      </w:r>
      <w:r>
        <w:rPr>
          <w:sz w:val="20"/>
          <w:szCs w:val="20"/>
        </w:rPr>
        <w:t>.id</w:t>
      </w:r>
    </w:p>
    <w:p w14:paraId="3A4D56F1">
      <w:pPr>
        <w:spacing w:after="0" w:line="240" w:lineRule="auto"/>
        <w:ind w:hanging="2"/>
        <w:jc w:val="center"/>
        <w:rPr>
          <w:sz w:val="20"/>
          <w:szCs w:val="20"/>
        </w:rPr>
      </w:pPr>
    </w:p>
    <w:p w14:paraId="004D9850">
      <w:pPr>
        <w:spacing w:after="0" w:line="240" w:lineRule="auto"/>
        <w:ind w:hanging="2"/>
        <w:jc w:val="center"/>
        <w:rPr>
          <w:sz w:val="20"/>
          <w:szCs w:val="20"/>
        </w:rPr>
      </w:pPr>
    </w:p>
    <w:p w14:paraId="688F0624">
      <w:pPr>
        <w:spacing w:after="0" w:line="240" w:lineRule="auto"/>
        <w:ind w:hanging="2"/>
        <w:jc w:val="center"/>
        <w:rPr>
          <w:sz w:val="24"/>
          <w:szCs w:val="24"/>
        </w:rPr>
      </w:pPr>
      <w:r>
        <w:rPr>
          <w:b/>
          <w:sz w:val="24"/>
          <w:szCs w:val="24"/>
        </w:rPr>
        <w:t>Abstract</w:t>
      </w:r>
    </w:p>
    <w:p w14:paraId="15821B03">
      <w:pPr>
        <w:spacing w:after="0" w:line="240" w:lineRule="auto"/>
        <w:ind w:hanging="2"/>
        <w:jc w:val="center"/>
        <w:rPr>
          <w:sz w:val="20"/>
          <w:szCs w:val="20"/>
        </w:rPr>
      </w:pPr>
    </w:p>
    <w:p w14:paraId="2938A7A3">
      <w:pPr>
        <w:spacing w:after="0" w:line="240" w:lineRule="auto"/>
        <w:ind w:hanging="2"/>
        <w:jc w:val="both"/>
        <w:rPr>
          <w:sz w:val="20"/>
          <w:szCs w:val="20"/>
        </w:rPr>
      </w:pPr>
      <w:r>
        <w:rPr>
          <w:sz w:val="20"/>
          <w:szCs w:val="20"/>
        </w:rPr>
        <w:t>Antibiotic resistance and biofilm-associated infections remain critical global health challenges. It</w:t>
      </w:r>
      <w:r>
        <w:rPr>
          <w:sz w:val="20"/>
          <w:szCs w:val="20"/>
          <w:lang w:val="en-US"/>
        </w:rPr>
        <w:t>’</w:t>
      </w:r>
      <w:r>
        <w:rPr>
          <w:sz w:val="20"/>
          <w:szCs w:val="20"/>
        </w:rPr>
        <w:t>s responsible for up to 65% of infections in humans and ha</w:t>
      </w:r>
      <w:r>
        <w:rPr>
          <w:sz w:val="20"/>
          <w:szCs w:val="20"/>
          <w:lang w:val="en-US"/>
        </w:rPr>
        <w:t>s</w:t>
      </w:r>
      <w:r>
        <w:rPr>
          <w:sz w:val="20"/>
          <w:szCs w:val="20"/>
        </w:rPr>
        <w:t xml:space="preserve"> adaptive resistance 10–1000 times higher against conventional antibiotics. Thus, </w:t>
      </w:r>
      <w:r>
        <w:rPr>
          <w:sz w:val="20"/>
          <w:szCs w:val="20"/>
          <w:lang w:val="en-US"/>
        </w:rPr>
        <w:t xml:space="preserve">the </w:t>
      </w:r>
      <w:r>
        <w:rPr>
          <w:sz w:val="20"/>
          <w:szCs w:val="20"/>
        </w:rPr>
        <w:t>development and finding of new antibiofilm agent</w:t>
      </w:r>
      <w:r>
        <w:rPr>
          <w:sz w:val="20"/>
          <w:szCs w:val="20"/>
          <w:lang w:val="en-US"/>
        </w:rPr>
        <w:t>s</w:t>
      </w:r>
      <w:r>
        <w:rPr>
          <w:sz w:val="20"/>
          <w:szCs w:val="20"/>
        </w:rPr>
        <w:t xml:space="preserve"> is needed. Marine bacteria, particularly symbion</w:t>
      </w:r>
      <w:r>
        <w:rPr>
          <w:sz w:val="20"/>
          <w:szCs w:val="20"/>
          <w:lang w:val="en-US"/>
        </w:rPr>
        <w:t>ts</w:t>
      </w:r>
      <w:r>
        <w:rPr>
          <w:sz w:val="20"/>
          <w:szCs w:val="20"/>
        </w:rPr>
        <w:t xml:space="preserve"> of anemone </w:t>
      </w:r>
      <w:r>
        <w:rPr>
          <w:i/>
          <w:sz w:val="20"/>
          <w:szCs w:val="20"/>
        </w:rPr>
        <w:t>Heteractis magnifica</w:t>
      </w:r>
      <w:r>
        <w:rPr>
          <w:sz w:val="20"/>
          <w:szCs w:val="20"/>
        </w:rPr>
        <w:t>, offer promising yet underexplored sources of bioactive componds as antibiofilm agents. This research aimed to optimize the growth condition</w:t>
      </w:r>
      <w:r>
        <w:rPr>
          <w:sz w:val="20"/>
          <w:szCs w:val="20"/>
          <w:lang w:val="en-US"/>
        </w:rPr>
        <w:t>s</w:t>
      </w:r>
      <w:r>
        <w:rPr>
          <w:sz w:val="20"/>
          <w:szCs w:val="20"/>
        </w:rPr>
        <w:t xml:space="preserve">, assess the antibiofilm activities and identify potential strain of symbiotic bacteria from </w:t>
      </w:r>
      <w:r>
        <w:rPr>
          <w:i/>
          <w:iCs/>
          <w:sz w:val="20"/>
          <w:szCs w:val="20"/>
        </w:rPr>
        <w:t xml:space="preserve">H. magnifica </w:t>
      </w:r>
      <w:r>
        <w:rPr>
          <w:sz w:val="20"/>
          <w:szCs w:val="20"/>
        </w:rPr>
        <w:t>in Samalona Island, Indonesia. The growth of two bacterial isolates (CM01 and CM03) were optimized, revealing that CM01 grew best in TSB with 2%</w:t>
      </w:r>
      <w:r>
        <w:rPr>
          <w:sz w:val="20"/>
          <w:szCs w:val="20"/>
          <w:lang w:val="en-US"/>
        </w:rPr>
        <w:t xml:space="preserve"> </w:t>
      </w:r>
      <w:r>
        <w:rPr>
          <w:sz w:val="20"/>
          <w:szCs w:val="20"/>
        </w:rPr>
        <w:t xml:space="preserve">NaCl and 2% peptone at 37 </w:t>
      </w:r>
      <w:r>
        <w:t>°C</w:t>
      </w:r>
      <w:r>
        <w:rPr>
          <w:sz w:val="20"/>
          <w:szCs w:val="20"/>
        </w:rPr>
        <w:t xml:space="preserve"> for 48 h incubation, while CM03 exhibited optimal growth in Zobell medium with 2% peptone at 28 </w:t>
      </w:r>
      <w:r>
        <w:t>°C</w:t>
      </w:r>
      <w:r>
        <w:rPr>
          <w:sz w:val="20"/>
          <w:szCs w:val="20"/>
        </w:rPr>
        <w:t xml:space="preserve"> for 48 h. Secondary metabolites produced under these conditions were tested against </w:t>
      </w:r>
      <w:r>
        <w:rPr>
          <w:i/>
          <w:sz w:val="20"/>
          <w:szCs w:val="20"/>
          <w:lang w:val="en-US"/>
        </w:rPr>
        <w:t>Escherichia coli</w:t>
      </w:r>
      <w:r>
        <w:rPr>
          <w:sz w:val="20"/>
          <w:szCs w:val="20"/>
          <w:lang w:val="en-US"/>
        </w:rPr>
        <w:t xml:space="preserve">, </w:t>
      </w:r>
      <w:r>
        <w:rPr>
          <w:i/>
          <w:sz w:val="20"/>
          <w:szCs w:val="20"/>
          <w:lang w:val="en-US"/>
        </w:rPr>
        <w:t>Pseudomonas aeruginosa</w:t>
      </w:r>
      <w:r>
        <w:rPr>
          <w:sz w:val="20"/>
          <w:szCs w:val="20"/>
          <w:lang w:val="en-US"/>
        </w:rPr>
        <w:t xml:space="preserve">, </w:t>
      </w:r>
      <w:r>
        <w:rPr>
          <w:i/>
          <w:sz w:val="20"/>
          <w:szCs w:val="20"/>
          <w:lang w:val="en-US"/>
        </w:rPr>
        <w:t>Bacillus subtilis</w:t>
      </w:r>
      <w:r>
        <w:rPr>
          <w:sz w:val="20"/>
          <w:szCs w:val="20"/>
          <w:lang w:val="en-US"/>
        </w:rPr>
        <w:t xml:space="preserve">, </w:t>
      </w:r>
      <w:r>
        <w:rPr>
          <w:i/>
          <w:sz w:val="20"/>
          <w:szCs w:val="20"/>
          <w:lang w:val="en-US"/>
        </w:rPr>
        <w:t>Staphylococcus epidermidis</w:t>
      </w:r>
      <w:r>
        <w:rPr>
          <w:sz w:val="20"/>
          <w:szCs w:val="20"/>
          <w:lang w:val="en-US"/>
        </w:rPr>
        <w:t xml:space="preserve">, and </w:t>
      </w:r>
      <w:r>
        <w:rPr>
          <w:i/>
          <w:sz w:val="20"/>
          <w:szCs w:val="20"/>
          <w:lang w:val="en-US"/>
        </w:rPr>
        <w:t>Staphylococcus aureus</w:t>
      </w:r>
      <w:r>
        <w:rPr>
          <w:iCs/>
          <w:sz w:val="20"/>
          <w:szCs w:val="20"/>
          <w:lang w:val="en-US"/>
        </w:rPr>
        <w:t>. The 50-hour metabolite of CM03 demonstrated the strongest and broadest antibiofilm activity. Due to its antibiofilm potential, strain CM03 was subjected to genomic characterization using 16S rRNA PCR method. Phylogenetic analysis identified the isolate as</w:t>
      </w:r>
      <w:r>
        <w:rPr>
          <w:sz w:val="20"/>
          <w:szCs w:val="20"/>
        </w:rPr>
        <w:t xml:space="preserve"> </w:t>
      </w:r>
      <w:r>
        <w:rPr>
          <w:i/>
          <w:sz w:val="20"/>
          <w:szCs w:val="20"/>
          <w:lang w:val="en-US"/>
        </w:rPr>
        <w:t>Halalkalibacter okhensis</w:t>
      </w:r>
      <w:r>
        <w:rPr>
          <w:sz w:val="20"/>
          <w:szCs w:val="20"/>
          <w:lang w:val="en-US"/>
        </w:rPr>
        <w:t xml:space="preserve">. These findings indicate that symbiotic bacteria of </w:t>
      </w:r>
      <w:r>
        <w:rPr>
          <w:i/>
          <w:iCs/>
          <w:sz w:val="20"/>
          <w:szCs w:val="20"/>
        </w:rPr>
        <w:t>H. magnifica</w:t>
      </w:r>
      <w:r>
        <w:rPr>
          <w:sz w:val="20"/>
          <w:szCs w:val="20"/>
        </w:rPr>
        <w:t xml:space="preserve">, particularly </w:t>
      </w:r>
      <w:r>
        <w:rPr>
          <w:i/>
          <w:sz w:val="20"/>
          <w:szCs w:val="20"/>
          <w:lang w:val="en-US"/>
        </w:rPr>
        <w:t>H. okhensis</w:t>
      </w:r>
      <w:r>
        <w:rPr>
          <w:i/>
          <w:iCs/>
          <w:sz w:val="20"/>
          <w:szCs w:val="20"/>
        </w:rPr>
        <w:t xml:space="preserve"> </w:t>
      </w:r>
      <w:r>
        <w:rPr>
          <w:sz w:val="20"/>
          <w:szCs w:val="20"/>
        </w:rPr>
        <w:t xml:space="preserve">CM03, represent promising candidates for the discovery of new antibiofilm agent. </w:t>
      </w:r>
    </w:p>
    <w:p w14:paraId="66071AF6">
      <w:pPr>
        <w:spacing w:after="0" w:line="240" w:lineRule="auto"/>
        <w:ind w:hanging="2"/>
        <w:jc w:val="both"/>
        <w:rPr>
          <w:sz w:val="20"/>
          <w:szCs w:val="20"/>
        </w:rPr>
      </w:pPr>
    </w:p>
    <w:p w14:paraId="2B85B67D">
      <w:pPr>
        <w:spacing w:after="0" w:line="240" w:lineRule="auto"/>
        <w:ind w:hanging="2"/>
        <w:jc w:val="both"/>
        <w:rPr>
          <w:sz w:val="20"/>
          <w:szCs w:val="20"/>
        </w:rPr>
      </w:pPr>
      <w:bookmarkStart w:id="0" w:name="_heading=h.30j0zll" w:colFirst="0" w:colLast="0"/>
      <w:bookmarkEnd w:id="0"/>
      <w:r>
        <w:rPr>
          <w:b/>
          <w:sz w:val="20"/>
          <w:szCs w:val="20"/>
        </w:rPr>
        <w:t>Keywords:</w:t>
      </w:r>
      <w:r>
        <w:rPr>
          <w:sz w:val="20"/>
          <w:szCs w:val="20"/>
        </w:rPr>
        <w:t xml:space="preserve"> biofilm, growth optimization, </w:t>
      </w:r>
      <w:r>
        <w:rPr>
          <w:i/>
          <w:sz w:val="20"/>
          <w:szCs w:val="20"/>
          <w:lang w:val="en-US"/>
        </w:rPr>
        <w:t>Halalkalibacter okhensis</w:t>
      </w:r>
      <w:r>
        <w:rPr>
          <w:iCs/>
          <w:sz w:val="20"/>
          <w:szCs w:val="20"/>
          <w:lang w:val="en-US"/>
        </w:rPr>
        <w:t xml:space="preserve">, </w:t>
      </w:r>
      <w:r>
        <w:rPr>
          <w:sz w:val="20"/>
          <w:szCs w:val="20"/>
        </w:rPr>
        <w:t>marine bacteria, secondary metabolites</w:t>
      </w:r>
    </w:p>
    <w:p w14:paraId="0D914604">
      <w:pPr>
        <w:spacing w:after="0" w:line="240" w:lineRule="auto"/>
        <w:ind w:hanging="2"/>
        <w:jc w:val="both"/>
        <w:rPr>
          <w:sz w:val="20"/>
          <w:szCs w:val="20"/>
        </w:rPr>
      </w:pPr>
    </w:p>
    <w:p w14:paraId="5BBB5BD4">
      <w:pPr>
        <w:spacing w:after="0" w:line="240" w:lineRule="auto"/>
        <w:ind w:hanging="2"/>
        <w:jc w:val="both"/>
        <w:rPr>
          <w:sz w:val="20"/>
          <w:szCs w:val="20"/>
        </w:rPr>
      </w:pPr>
    </w:p>
    <w:p w14:paraId="5A3537D0">
      <w:pPr>
        <w:spacing w:after="0" w:line="240" w:lineRule="auto"/>
        <w:ind w:hanging="2"/>
        <w:jc w:val="both"/>
        <w:rPr>
          <w:b/>
          <w:sz w:val="24"/>
          <w:szCs w:val="24"/>
        </w:rPr>
        <w:sectPr>
          <w:footerReference r:id="rId5" w:type="default"/>
          <w:footerReference r:id="rId6" w:type="even"/>
          <w:type w:val="continuous"/>
          <w:pgSz w:w="11900" w:h="16840"/>
          <w:pgMar w:top="1418" w:right="1418" w:bottom="1418" w:left="1417" w:header="706" w:footer="706" w:gutter="0"/>
          <w:pgNumType w:fmt="decimal" w:start="19"/>
          <w:cols w:space="720" w:num="1"/>
        </w:sectPr>
      </w:pPr>
    </w:p>
    <w:p w14:paraId="79CB172D">
      <w:pPr>
        <w:spacing w:after="0" w:line="240" w:lineRule="auto"/>
        <w:ind w:hanging="2"/>
        <w:jc w:val="both"/>
        <w:rPr>
          <w:sz w:val="24"/>
          <w:szCs w:val="24"/>
        </w:rPr>
      </w:pPr>
      <w:r>
        <w:rPr>
          <w:b/>
          <w:sz w:val="24"/>
          <w:szCs w:val="24"/>
        </w:rPr>
        <w:t>Introduction</w:t>
      </w:r>
    </w:p>
    <w:p w14:paraId="51FE2468">
      <w:pPr>
        <w:spacing w:after="0" w:line="240" w:lineRule="auto"/>
        <w:ind w:hanging="2"/>
        <w:jc w:val="both"/>
        <w:rPr>
          <w:sz w:val="20"/>
          <w:szCs w:val="20"/>
        </w:rPr>
      </w:pPr>
    </w:p>
    <w:p w14:paraId="7DF7908F">
      <w:pPr>
        <w:spacing w:after="0" w:line="240" w:lineRule="auto"/>
        <w:ind w:firstLine="220"/>
        <w:jc w:val="both"/>
        <w:rPr>
          <w:lang w:val="en-US"/>
        </w:rPr>
      </w:pPr>
      <w:r>
        <w:rPr>
          <w:lang w:val="en-US"/>
        </w:rPr>
        <w:t xml:space="preserve">Bacteria are classified as resistant when their growth is no longer inhibited by the maximum clinically achievable concentrations of antibiotics. Antibiotic resistance has emerged as one of the global health challenges, driven largely by inappropriate antibiotic usage, including in Indonesia, where 53–62% of the population tends to stop consuming antibiotics once they feel better </w:t>
      </w:r>
      <w:r>
        <w:rPr>
          <w:lang w:val="en-US"/>
        </w:rPr>
        <w:fldChar w:fldCharType="begin" w:fldLock="1"/>
      </w:r>
      <w:r>
        <w:rPr>
          <w:lang w:val="en-US"/>
        </w:rPr>
        <w:instrText xml:space="preserve">ADDIN CSL_CITATION {"citationItems":[{"id":"ITEM-1","itemData":{"DOI":"10.2147/PPA.S328890","ISSN":"1177889X","PMID":"34754181","abstract":"Background: Identifying knowledge gaps regarding antibiotic use and resistance is important for future interventional strategies. There is limited information on Malaysia’s general public’s knowledge and expectations on antibiotic use. Purpose: To assess the knowledge of antibiotic use and resistance, expectations from antibiotic prescription, and identify inappropriate practices related to antibiotic use among Malaysia’s general public. Materials and Methods: A nationwide cross-sectional survey was conducted among Malaysians aged 18 years and above from each state, from May to November 2019. Participants were recruited via quota sampling, followed by convenient sampling. A validated self-administered questionnaire was used to collect data. Results: Of the 1971 respondents recruited, 56.6% had engaged in at least one inappropriate practice; particularly, not completing the antibiotic course (48.8%). The mean total knowledge score was 8.57±4.24 (total 20). The majority incorrectly believed that antibiotics work on viral infections (79.1%) and colds and coughs (77.0%). Less than half of them believed that antibiotics could be stopped when symptoms improved (42.8%). Most respondents incorrectly perceived that antibiotic resistance occurs when the body becomes resistant to antibiotics (90.2%) and antibiotic resistance is not an issue in the country (62.9%). More than half the participants expected antibiotics to be prescribed for self-limiting symptoms (fever: 62.9%, sore throat: 57.2%, cold or flu: 50.9%). Respondents with better knowledge were less likely to engage in inappropriate antibiotic use (never engaged: 9.26±4.40 versus had engaged: 8.11±4.00, p&lt;0.001), and expect doctors to discuss with them the need for antibiotics (agree/strongly agree: 9.03±4.25 versus neutral: 6.62±3.91 versus disagree/ strongly disagree: 8.29±4.00, p&lt;0.001). Conclusion: Knowledge gaps in the role of antibiotics and understanding of antibiotic resistance should be considered whtpen designing future educational strategies for the general public.","author":[{"dropping-particle":"","family":"Kong","given":"Lai San","non-dropping-particle":"","parse-names":false,"suffix":""},{"dropping-particle":"","family":"Islahudin","given":"Farida","non-dropping-particle":"","parse-names":false,"suffix":""},{"dropping-particle":"","family":"Muthupalaniappen","given":"Leelavathi","non-dropping-particle":"","parse-names":false,"suffix":""},{"dropping-particle":"","family":"Chong","given":"Wei Wen","non-dropping-particle":"","parse-names":false,"suffix":""}],"container-title":"Patient preference and adherence","id":"ITEM-1","issued":{"date-parts":[["2021"]]},"page":"2405","publisher":"Dove Medical Press Ltd","title":"Knowledge and Expectations on Antibiotic Use Among the General Public in Malaysia: A Nationwide Cross-Sectional Survey","type":"article-journal","volume":"15"},"uris":["http://www.mendeley.com/documents/?uuid=7916c703-6dce-3b03-a878-68f6b084995f"]}],"mendeley":{"formattedCitation":"(Kong et al., 2021)","plainTextFormattedCitation":"(Kong et al., 2021)","previouslyFormattedCitation":"(Kong et al., 2021)"},"properties":{"noteIndex":0},"schema":"https://github.com/citation-style-language/schema/raw/master/csl-citation.json"}</w:instrText>
      </w:r>
      <w:r>
        <w:rPr>
          <w:lang w:val="en-US"/>
        </w:rPr>
        <w:fldChar w:fldCharType="separate"/>
      </w:r>
      <w:r>
        <w:rPr>
          <w:lang w:val="en-US"/>
        </w:rPr>
        <w:t xml:space="preserve">(Kong </w:t>
      </w:r>
      <w:r>
        <w:rPr>
          <w:i/>
          <w:lang w:val="en-US"/>
        </w:rPr>
        <w:t>et al</w:t>
      </w:r>
      <w:r>
        <w:rPr>
          <w:lang w:val="en-US"/>
        </w:rPr>
        <w:t>., 2021)</w:t>
      </w:r>
      <w:r>
        <w:rPr>
          <w:lang w:val="en-US"/>
        </w:rPr>
        <w:fldChar w:fldCharType="end"/>
      </w:r>
      <w:r>
        <w:rPr>
          <w:lang w:val="en-US"/>
        </w:rPr>
        <w:t xml:space="preserve">. This issue is further worsened by the limited availability of new antimicrobial agents. Additionally, bacteria that form biofilms present an even greater challenge, as they demonstrate a tolerance level of antibiotics up to 10–1000 times higher than planktonic cells due to the presence of physical barriers such as extracellular matrices, as well as complex physiological adaptations </w:t>
      </w:r>
      <w:r>
        <w:rPr>
          <w:lang w:val="en-US"/>
        </w:rPr>
        <w:fldChar w:fldCharType="begin" w:fldLock="1"/>
      </w:r>
      <w:r>
        <w:rPr>
          <w:lang w:val="en-US"/>
        </w:rPr>
        <w:instrText xml:space="preserve">ADDIN CSL_CITATION {"citationItems":[{"id":"ITEM-1","itemData":{"DOI":"10.3390/MICROORGANISMS11061614","ISSN":"2076-2607","PMID":"37375116","abstract":"Biofilm is complex and consists of bacterial colonies that reside in an exopolysaccharide matrix that attaches to foreign surfaces in a living organism. Biofilm frequently leads to nosocomial, chronic infections in clinical settings. Since the bacteria in the biofilm have developed antibiotic resistance, using antibiotics alone to treat infections brought on by biofilm is ineffective. This review provides a succinct summary of the theories behind the composition of, formation of, and drug-resistant infections attributed to biofilm and cutting-edge curative approaches to counteract and treat biofilm. The high frequency of medical device-induced infections due to biofilm warrants the application of innovative technologies to manage the complexities presented by biofilm.","author":[{"dropping-particle":"","family":"Sharma","given":"Satish","non-dropping-particle":"","parse-names":false,"suffix":""},{"dropping-particle":"","family":"Mohler","given":"James","non-dropping-particle":"","parse-names":false,"suffix":""},{"dropping-particle":"","family":"Mahajan","given":"Supriya D.","non-dropping-particle":"","parse-names":false,"suffix":""},{"dropping-particle":"","family":"Schwartz","given":"Stanley A.","non-dropping-particle":"","parse-names":false,"suffix":""},{"dropping-particle":"","family":"Bruggemann","given":"Liana","non-dropping-particle":"","parse-names":false,"suffix":""},{"dropping-particle":"","family":"Aalinkeel","given":"Ravikumar","non-dropping-particle":"","parse-names":false,"suffix":""}],"container-title":"Microorganisms 2023, Vol. 11, Page 1614","id":"ITEM-1","issue":"6","issued":{"date-parts":[["2023","6","19"]]},"page":"1614","publisher":"Multidisciplinary Digital Publishing Institute","title":"Microbial Biofilm: A Review on Formation, Infection, Antibiotic Resistance, Control Measures, and Innovative Treatment","type":"article-journal","volume":"11"},"uris":["http://www.mendeley.com/documents/?uuid=4a32b61b-a58c-3ec1-9d0f-12682c4ab3ad"]}],"mendeley":{"formattedCitation":"(Sharma et al., 2023)","plainTextFormattedCitation":"(Sharma et al., 2023)","previouslyFormattedCitation":"(Sharma et al., 2023)"},"properties":{"noteIndex":0},"schema":"https://github.com/citation-style-language/schema/raw/master/csl-citation.json"}</w:instrText>
      </w:r>
      <w:r>
        <w:rPr>
          <w:lang w:val="en-US"/>
        </w:rPr>
        <w:fldChar w:fldCharType="separate"/>
      </w:r>
      <w:r>
        <w:rPr>
          <w:lang w:val="en-US"/>
        </w:rPr>
        <w:t xml:space="preserve">(Sharma </w:t>
      </w:r>
      <w:r>
        <w:rPr>
          <w:i/>
          <w:lang w:val="en-US"/>
        </w:rPr>
        <w:t>et al</w:t>
      </w:r>
      <w:r>
        <w:rPr>
          <w:lang w:val="en-US"/>
        </w:rPr>
        <w:t>., 2023)</w:t>
      </w:r>
      <w:r>
        <w:rPr>
          <w:lang w:val="en-US"/>
        </w:rPr>
        <w:fldChar w:fldCharType="end"/>
      </w:r>
      <w:r>
        <w:rPr>
          <w:lang w:val="en-US"/>
        </w:rPr>
        <w:t xml:space="preserve">. Biofilm-associated infections account for an estimated 65% of human infections and are often persistent, difficult to eradicate, and associated with high morbidity, especially in children and the elderly </w:t>
      </w:r>
      <w:r>
        <w:rPr>
          <w:lang w:val="en-US"/>
        </w:rPr>
        <w:fldChar w:fldCharType="begin" w:fldLock="1"/>
      </w:r>
      <w:r>
        <w:rPr>
          <w:lang w:val="en-US"/>
        </w:rPr>
        <w:instrText xml:space="preserve">ADDIN CSL_CITATION {"citationItems":[{"id":"ITEM-1","itemData":{"DOI":"10.3390/BIOM8020029","ISSN":"2218-273X","PMID":"29883434","abstract":"Biofilms are multicellular communities of bacteria that can adhere to virtually any surface. Bacterial biofilms are clinically relevant, as they are responsible for up to two-thirds of hospital acquired infections and contribute to chronic infections. Troublingly, the bacteria within a biofilm are adaptively resistant to antibiotic treatment and it can take up to 1000 times more antibiotic to kill cells within a biofilm when compared to planktonic bacterial cells. Identifying and optimizing compounds that specifically target bacteria growing in biofilms is required to address this growing concern and the reported antibiofilm activity of natural and synthetic host defence peptides has garnered significant interest. However, a standardized assay to assess the activity of antibiofilm agents has not been established. In the present work, we describe two simple assays that can assess the inhibitory and eradication capacities of peptides towards biofilms that are formed by both Gram-positive and negative bacteria. These assays are suitable for high-throughput workflows in 96-well microplates and they use crystal violet staining to quantify adhered biofilm biomass as well as tetrazolium chloride dye to evaluate the metabolic activity of the biofilms. The effect of media composition on the readouts of these biofilm detection methods was assessed against two strains of Pseudomonas aeruginosa (PAO1 and PA14), as well as a methicillin resistant strain of Staphylococcus aureus. Our results demonstrate that media composition dramatically alters the staining patterns that were obtained with these dye-based methods, highlighting the importance of establishing appropriate biofilm growth conditions for each bacterial species to be evaluated. Confocal microscopy imaging of P. aeruginosa biofilms grown in flow cells revealed that this is likely due to altered biofilm architecture under specific growth conditions. The antibiofilm activity of several antibiotics and synthetic peptides were then evaluated under both inhibition and eradication conditions to illustrate the type of data that can be obtained using this experimental setup.","author":[{"dropping-particle":"","family":"Haney","given":"Evan F.","non-dropping-particle":"","parse-names":false,"suffix":""},{"dropping-particle":"","family":"Trimble","given":"Michael J.","non-dropping-particle":"","parse-names":false,"suffix":""},{"dropping-particle":"","family":"Cheng","given":"John T.","non-dropping-particle":"","parse-names":false,"suffix":""},{"dropping-particle":"","family":"Vallé","given":"Quentin","non-dropping-particle":"","parse-names":false,"suffix":""},{"dropping-particle":"","family":"Hancock","given":"Robert E.W.","non-dropping-particle":"","parse-names":false,"suffix":""}],"container-title":"Biomolecules 2018, Vol. 8, Page 29","id":"ITEM-1","issue":"2","issued":{"date-parts":[["2018","5","21"]]},"page":"29","publisher":"Multidisciplinary Digital Publishing Institute","title":"Critical Assessment of Methods to Quantify Biofilm Growth and Evaluate Antibiofilm Activity of Host Defence Peptides","type":"article-journal","volume":"8"},"uris":["http://www.mendeley.com/documents/?uuid=15ad2cf7-7ef3-36b4-8fa9-72423187017c"]}],"mendeley":{"formattedCitation":"(Haney et al., 2018)","plainTextFormattedCitation":"(Haney et al., 2018)","previouslyFormattedCitation":"(Haney et al., 2018)"},"properties":{"noteIndex":0},"schema":"https://github.com/citation-style-language/schema/raw/master/csl-citation.json"}</w:instrText>
      </w:r>
      <w:r>
        <w:rPr>
          <w:lang w:val="en-US"/>
        </w:rPr>
        <w:fldChar w:fldCharType="separate"/>
      </w:r>
      <w:r>
        <w:rPr>
          <w:lang w:val="en-US"/>
        </w:rPr>
        <w:t xml:space="preserve">(Haney </w:t>
      </w:r>
      <w:r>
        <w:rPr>
          <w:i/>
          <w:lang w:val="en-US"/>
        </w:rPr>
        <w:t>et al</w:t>
      </w:r>
      <w:r>
        <w:rPr>
          <w:lang w:val="en-US"/>
        </w:rPr>
        <w:t>., 2018)</w:t>
      </w:r>
      <w:r>
        <w:rPr>
          <w:lang w:val="en-US"/>
        </w:rPr>
        <w:fldChar w:fldCharType="end"/>
      </w:r>
      <w:r>
        <w:rPr>
          <w:lang w:val="en-US"/>
        </w:rPr>
        <w:t xml:space="preserve">. Unfortunately, there is currently no specific therapeutic option targeting biofilm-producing pathogens, underscoring the urgent need to discover new bioactive compounds with potent antibiofilm activity. </w:t>
      </w:r>
    </w:p>
    <w:p w14:paraId="56B7A41B">
      <w:pPr>
        <w:spacing w:after="0" w:line="240" w:lineRule="auto"/>
        <w:ind w:firstLine="220"/>
        <w:jc w:val="both"/>
        <w:rPr>
          <w:lang w:val="en-US"/>
        </w:rPr>
        <w:sectPr>
          <w:type w:val="continuous"/>
          <w:pgSz w:w="11900" w:h="16840"/>
          <w:pgMar w:top="1418" w:right="1418" w:bottom="1418" w:left="1417" w:header="706" w:footer="706" w:gutter="0"/>
          <w:pgNumType w:fmt="decimal" w:start="1"/>
          <w:cols w:equalWidth="0" w:num="2">
            <w:col w:w="4320" w:space="425"/>
            <w:col w:w="4320"/>
          </w:cols>
        </w:sectPr>
      </w:pPr>
      <w:r>
        <w:rPr>
          <w:lang w:val="en-US"/>
        </w:rPr>
        <w:t xml:space="preserve">The marine environment represents a vast and underexplored habitat of microbial diversity with high potential for novel bioactive compound discovery </w:t>
      </w:r>
      <w:r>
        <w:rPr>
          <w:lang w:val="en-US"/>
        </w:rPr>
        <w:fldChar w:fldCharType="begin" w:fldLock="1"/>
      </w:r>
      <w:r>
        <w:rPr>
          <w:lang w:val="en-US"/>
        </w:rPr>
        <w:instrText xml:space="preserve">ADDIN CSL_CITATION {"citationItems":[{"id":"ITEM-1","itemData":{"DOI":"10.1039/C3NP70118B","ISSN":"1460-4752","PMID":"24871201","abstract":"Covering: 2009 to 2013.\n      This review covers the 188 novel marine natural products described since 2008, from deep-water (50–&gt;5000 m) marine fauna including bryozoa, chordata, cnidaria, echinodermata, microorganisms, mollusca and porifera. The structures of the new compounds and details of the source organism, depth of collection and country of origin are presented, along with any relevant biological activities of the metabolites. Where reported, synthetic studies on the deep-sea natural products have also been included. Most strikingly, 75% of the compounds were reported to possess bioactivity, with almost half exhibiting low micromolar cytotoxicity towards a range of human cancer cell lines, along with a significant increase in the number of microbial deep-sea natural products reported.","author":[{"dropping-particle":"","family":"Skropeta","given":"Danielle","non-dropping-particle":"","parse-names":false,"suffix":""},{"dropping-particle":"","family":"Wei","given":"Liangqian","non-dropping-particle":"","parse-names":false,"suffix":""}],"container-title":"Natural Product Reports","id":"ITEM-1","issue":"8","issued":{"date-parts":[["2014","7","9"]]},"page":"999-1025","publisher":"The Royal Society of Chemistry","title":"Recent advances in deep-sea natural products","type":"article-journal","volume":"31"},"uris":["http://www.mendeley.com/documents/?uuid=11d7c5dc-704c-35de-ae6e-635298d679b8"]}],"mendeley":{"formattedCitation":"(Skropeta &amp; Wei, 2014)","plainTextFormattedCitation":"(Skropeta &amp; Wei, 2014)","previouslyFormattedCitation":"(Skropeta &amp; Wei, 2014)"},"properties":{"noteIndex":0},"schema":"https://github.com/citation-style-language/schema/raw/master/csl-citation.json"}</w:instrText>
      </w:r>
      <w:r>
        <w:rPr>
          <w:lang w:val="en-US"/>
        </w:rPr>
        <w:fldChar w:fldCharType="separate"/>
      </w:r>
      <w:r>
        <w:rPr>
          <w:lang w:val="en-US"/>
        </w:rPr>
        <w:t xml:space="preserve">(Tortorella </w:t>
      </w:r>
      <w:r>
        <w:rPr>
          <w:i/>
          <w:lang w:val="en-US"/>
        </w:rPr>
        <w:t>et al</w:t>
      </w:r>
      <w:r>
        <w:rPr>
          <w:lang w:val="en-US"/>
        </w:rPr>
        <w:t>., 2018)</w:t>
      </w:r>
      <w:r>
        <w:rPr>
          <w:lang w:val="en-US"/>
        </w:rPr>
        <w:fldChar w:fldCharType="end"/>
      </w:r>
      <w:r>
        <w:rPr>
          <w:lang w:val="en-US"/>
        </w:rPr>
        <w:t xml:space="preserve">. Although the oceans cover more than 70% of the Earth's surface, only about 5% has been explored. Marine organisms have adapted to unique ecological conditions, such as high hydrostatic pressure, lack of light, and low nutrient availability, as well as limited oxygen, leading to the production of diverse and uncommon biologically active metabolites </w:t>
      </w:r>
    </w:p>
    <w:p w14:paraId="683EBA7A">
      <w:pPr>
        <w:spacing w:after="0" w:line="240" w:lineRule="auto"/>
        <w:ind w:firstLine="220"/>
        <w:jc w:val="both"/>
        <w:rPr>
          <w:lang w:val="en-US"/>
        </w:rPr>
      </w:pPr>
      <w:r>
        <w:rPr>
          <w:lang w:val="en-US"/>
        </w:rPr>
        <w:t xml:space="preserve">compared with terrestrial organisms </w:t>
      </w:r>
      <w:r>
        <w:rPr>
          <w:lang w:val="en-US"/>
        </w:rPr>
        <w:fldChar w:fldCharType="begin" w:fldLock="1"/>
      </w:r>
      <w:r>
        <w:rPr>
          <w:lang w:val="en-US"/>
        </w:rPr>
        <w:instrText xml:space="preserve">ADDIN CSL_CITATION {"citationItems":[{"id":"ITEM-1","itemData":{"DOI":"10.3389/FMARS.2024.1461607/BIBTEX","ISSN":"22967745","abstract":"The rise of bacterial infections and increasing antibiotic resistance underscores an urgent need for new, effective antimicrobial agents with marine bacteria offering a unique and promising source for novel antibiotic compounds to combat persistent and emerging pathogens. In this research, five compounds were achieved from marine Streptomyces sp., C2-13, and their yield was enhanced with the addition of zinc sulfate at 0.5 mM. All compounds have been evaluated for their antibacterial activity against multiple pathogens, among which good activity was achieved against S. aureus, while potent activity was achieved against Riemerella anatipestifer with its IC50 value at 200 µm and bactericidal effect at 300 µm. Among all compounds, 4 was more active against both pathogens. A transcriptome analysis of active compound 4 showed its antibacterial effect on R. anatipestifer by inhibiting 30S and 50S ribosomal subunits, resistance mechanisms, and gliding motility proteins IX secretion system (T9SS) and interfering with protein translations process, secretion system, defense and resistance mechanisms, ultimately resulting in effective inhibition of normal bacterial growth and its motility. To investigate the anti-bacterial mechanism, all compounds were docked with two enzymes and TLR4 protein for predicting the vaccine construct, and the best docking score was achieved against RMFP with the highest score of -12.9 for compound 4. In silico cloning was carried out to ensure the expression of proteins generated and were cloned using E. coli as a host. The simulation studies have shown that both compound 4–RMFP and TLR4–RMFP complex are stable with the system. To the best of our knowledge, this is the first study investigating marine bacterial metabolites against R. anatipestifer with their anti-bacterial mechanism and enhancing their yield through the addition of zinc sulfate ions.","author":[{"dropping-particle":"","family":"Hassan","given":"Syed Shams ul","non-dropping-particle":"","parse-names":false,"suffix":""},{"dropping-particle":"","family":"Jin","given":"Huizi","non-dropping-particle":"","parse-names":false,"suffix":""}],"container-title":"Frontiers in Marine Science","id":"ITEM-1","issued":{"date-parts":[["2024","1","6"]]},"page":"1461607","publisher":"Frontiers Media SA","title":"Harnessing marine bacteria for next-gen antibiotics: potent inhibition of S. aureus and Riemerella anatipestifer through in vitro, omics, and chemoinformatics approach with enhanced production of secondary metabolites through zinc sulfate","type":"article-journal","volume":"11"},"uris":["http://www.mendeley.com/documents/?uuid=87508bf1-d58b-367f-8923-5b7cc23eac4c"]}],"mendeley":{"formattedCitation":"(Hassan &amp; Jin, 2024)","plainTextFormattedCitation":"(Hassan &amp; Jin, 2024)","previouslyFormattedCitation":"(Hassan &amp; Jin, 2024)"},"properties":{"noteIndex":0},"schema":"https://github.com/citation-style-language/schema/raw/master/csl-citation.json"}</w:instrText>
      </w:r>
      <w:r>
        <w:rPr>
          <w:lang w:val="en-US"/>
        </w:rPr>
        <w:fldChar w:fldCharType="separate"/>
      </w:r>
      <w:r>
        <w:rPr>
          <w:lang w:val="en-US"/>
        </w:rPr>
        <w:t>(Hassan &amp; Jin, 2024)</w:t>
      </w:r>
      <w:r>
        <w:rPr>
          <w:lang w:val="en-US"/>
        </w:rPr>
        <w:fldChar w:fldCharType="end"/>
      </w:r>
      <w:r>
        <w:rPr>
          <w:lang w:val="en-US"/>
        </w:rPr>
        <w:t>. This makes marine-derived bacteria an attractive source for identifying new antimicrobial and antibiofilm agents.</w:t>
      </w:r>
    </w:p>
    <w:p w14:paraId="7D7FC6EE">
      <w:pPr>
        <w:spacing w:after="0" w:line="240" w:lineRule="auto"/>
        <w:ind w:firstLine="220"/>
        <w:jc w:val="both"/>
        <w:rPr>
          <w:lang w:val="en-US"/>
        </w:rPr>
      </w:pPr>
      <w:r>
        <w:rPr>
          <w:lang w:val="en-US"/>
        </w:rPr>
        <w:t xml:space="preserve">Sea anemone, including the species </w:t>
      </w:r>
      <w:r>
        <w:rPr>
          <w:i/>
          <w:lang w:val="en-US"/>
        </w:rPr>
        <w:t>Heteractis magnifica</w:t>
      </w:r>
      <w:r>
        <w:rPr>
          <w:lang w:val="en-US"/>
        </w:rPr>
        <w:t xml:space="preserve">, harbor complex microbiomes composed of symbiotic bacteria that contributes to the production of secondary metabolites as a result of host defense mechanisms. Previous research has revealed the potential of antimicrobial, antitumor, antiviral, and antifungal properties from many marine invertebrates </w:t>
      </w:r>
      <w:r>
        <w:rPr>
          <w:lang w:val="en-US"/>
        </w:rPr>
        <w:fldChar w:fldCharType="begin" w:fldLock="1"/>
      </w:r>
      <w:r>
        <w:rPr>
          <w:lang w:val="en-US"/>
        </w:rPr>
        <w:instrText xml:space="preserve">ADDIN CSL_CITATION {"citationItems":[{"id":"ITEM-1","itemData":{"DOI":"10.3390/JMSE7060176","ISSN":"2077-1312","abstract":"Marine habitats are a rich source of molecules of biological interest. In particular, marine bacteria attract attention with their ability to synthesize structurally diverse classes of bioactive secondary metabolites with high biotechnological potential. The last decades were marked by numerous discoveries of biomolecules of bacterial symbionts, which have long been considered metabolites of marine animals. Many compounds isolated from marine bacteria are unique in their structure and biological activity. Their study has made a significant contribution to the discovery and production of new natural antimicrobial agents. Identifying the mechanisms and potential of this type of metabolite production in marine bacteria has become one of the noteworthy trends in modern biotechnology. This path has become not only one of the most promising approaches to the development of new antibiotics, but also a potential target for controlling the viability of pathogenic bacteria.","author":[{"dropping-particle":"","family":"Andryukov","given":"Boris","non-dropping-particle":"","parse-names":false,"suffix":""},{"dropping-particle":"","family":"Mikhailov","given":"Valery","non-dropping-particle":"","parse-names":false,"suffix":""},{"dropping-particle":"","family":"Besednova","given":"Nataly","non-dropping-particle":"","parse-names":false,"suffix":""}],"container-title":"Journal of Marine Science and Engineering 2019, Vol. 7, Page 176","id":"ITEM-1","issue":"6","issued":{"date-parts":[["2019","6","3"]]},"page":"176","publisher":"Multidisciplinary Digital Publishing Institute","title":"The Biotechnological Potential of Secondary Metabolites from Marine Bacteria","type":"article-journal","volume":"7"},"uris":["http://www.mendeley.com/documents/?uuid=dcf9ac3e-9565-331a-911d-74078a83a59b"]},{"id":"ITEM-2","itemData":{"DOI":"10.1021/ACS.JNATPROD.6B00235","ISSN":"1520-6025","PMID":"28362500","abstract":"This review summarizes the reports on antibacterial compounds that have been obtained from marine-derived bacteria during the period 2010-2015. Over 50 active compounds were isolated during this period, most of which (69%) were obtained from Actinobacteria. Several compounds were already known, such as etamycin A (11) and nosiheptide (65), and new experiments with them showed some previously undetected antibacterial activities, highlighting the fact that known natural products may be an important source of new antibacterial leads. New broad-spectrum antibacterial compounds were reported with activity against antibiotic resistant Gram-positive and Gram-negative bacteria. Anthracimycin (33), kocurin (66), gageotetrins A-C (72-74), and gageomacrolactins 1-3 (86-88) are examples of compounds that display promising properties and could be leads to new antibiotics. A number of microbes produced mixtures of metabolites sharing similar chemical scaffolds, and structure-activity relationships are discussed.","author":[{"dropping-particle":"","family":"Schinke","given":"Claudia","non-dropping-particle":"","parse-names":false,"suffix":""},{"dropping-particle":"","family":"Martins","given":"Thamires","non-dropping-particle":"","parse-names":false,"suffix":""},{"dropping-particle":"","family":"Queiroz","given":"Sonia C.N.","non-dropping-particle":"","parse-names":false,"suffix":""},{"dropping-particle":"","family":"Melo","given":"Itamar S.","non-dropping-particle":"","parse-names":false,"suffix":""},{"dropping-particle":"","family":"Reyes","given":"Felix G.R.","non-dropping-particle":"","parse-names":false,"suffix":""}],"container-title":"Journal of natural products","id":"ITEM-2","issue":"4","issued":{"date-parts":[["2017","4","28"]]},"page":"1215-1228","publisher":"J Nat Prod","title":"Antibacterial Compounds from Marine Bacteria, 2010-2015","type":"article-journal","volume":"80"},"uris":["http://www.mendeley.com/documents/?uuid=034575b9-3c76-3466-8681-52e77f956352"]}],"mendeley":{"formattedCitation":"(Andryukov et al., 2019; Schinke et al., 2017)","plainTextFormattedCitation":"(Andryukov et al., 2019; Schinke et al., 2017)","previouslyFormattedCitation":"(Andryukov et al., 2019; Schinke et al., 2017)"},"properties":{"noteIndex":0},"schema":"https://github.com/citation-style-language/schema/raw/master/csl-citation.json"}</w:instrText>
      </w:r>
      <w:r>
        <w:rPr>
          <w:lang w:val="en-US"/>
        </w:rPr>
        <w:fldChar w:fldCharType="separate"/>
      </w:r>
      <w:r>
        <w:rPr>
          <w:lang w:val="en-US"/>
        </w:rPr>
        <w:t xml:space="preserve">(Andryukov </w:t>
      </w:r>
      <w:r>
        <w:rPr>
          <w:i/>
          <w:lang w:val="en-US"/>
        </w:rPr>
        <w:t>et al</w:t>
      </w:r>
      <w:r>
        <w:rPr>
          <w:lang w:val="en-US"/>
        </w:rPr>
        <w:t xml:space="preserve">., 2019; Gavriilidou </w:t>
      </w:r>
      <w:r>
        <w:rPr>
          <w:i/>
          <w:lang w:val="en-US"/>
        </w:rPr>
        <w:t>et al</w:t>
      </w:r>
      <w:r>
        <w:rPr>
          <w:lang w:val="en-US"/>
        </w:rPr>
        <w:t>., 2020)</w:t>
      </w:r>
      <w:r>
        <w:rPr>
          <w:lang w:val="en-US"/>
        </w:rPr>
        <w:fldChar w:fldCharType="end"/>
      </w:r>
      <w:r>
        <w:rPr>
          <w:lang w:val="en-US"/>
        </w:rPr>
        <w:t xml:space="preserve">. Studies on exploring the potential of marine bacteria as antimicrobial agents have been conducted by </w:t>
      </w:r>
      <w:r>
        <w:rPr>
          <w:lang w:val="en-US"/>
        </w:rPr>
        <w:fldChar w:fldCharType="begin" w:fldLock="1"/>
      </w:r>
      <w:r>
        <w:rPr>
          <w:lang w:val="en-US"/>
        </w:rPr>
        <w:instrText xml:space="preserve">ADDIN CSL_CITATION {"citationItems":[{"id":"ITEM-1","itemData":{"DOI":"10.3389/FMICB.2017.01092","ISSN":"1664-302X","PMID":"28659904","abstract":"Nudibranchia, marine soft-bodied organisms, developed, due to the absence of a protective shell, different strategies to protect themselves against putative predators and fouling organisms. One strategy is to use chemical weapons to distract predators, as well as pathogenic microorganisms. Hence, these gastropods take advantage of the incorporation of chemical molecules. Thereby the original source of these natural products varies; it might be the food source, de novo synthesis from the sea slug, or biosynthesis by associated bacteria. These bioactive molecules applied by the slugs can become important drug leads for future medicinal drugs. To test the potential of the associated bacteria, the latter were isolated from their hosts, brought into culture and extracts were prepared and tested for antimicrobial activities. From 49 isolated bacterial strains 35 showed antibiotic activity. The most promising extracts were chosen for further testing against relevant pathogens. In that way three strains showing activity against methicillin resistant Staphylococcus aureus and one strain with activity against enterohemorrhagic Escherichia coli, respectively, were identified. The obtained results indicate that the sea slug associated microbiome is a promising source for bacterial strains, which hold the potential for the biotechnological production of antibiotics.","author":[{"dropping-particle":"","family":"Böhringer","given":"Nils","non-dropping-particle":"","parse-names":false,"suffix":""},{"dropping-particle":"","family":"Fisch","given":"Katja M.","non-dropping-particle":"","parse-names":false,"suffix":""},{"dropping-particle":"","family":"Schillo","given":"Dorothee","non-dropping-particle":"","parse-names":false,"suffix":""},{"dropping-particle":"","family":"Bara","given":"Robert","non-dropping-particle":"","parse-names":false,"suffix":""},{"dropping-particle":"","family":"Hertzer","given":"Cora","non-dropping-particle":"","parse-names":false,"suffix":""},{"dropping-particle":"","family":"Grein","given":"Fabian","non-dropping-particle":"","parse-names":false,"suffix":""},{"dropping-particle":"","family":"Eisenbarth","given":"Jan Hendrik","non-dropping-particle":"","parse-names":false,"suffix":""},{"dropping-particle":"","family":"Kaligis","given":"Fontje","non-dropping-particle":"","parse-names":false,"suffix":""},{"dropping-particle":"","family":"Schneider","given":"Tanja","non-dropping-particle":"","parse-names":false,"suffix":""},{"dropping-particle":"","family":"Wägele","given":"Heike","non-dropping-particle":"","parse-names":false,"suffix":""},{"dropping-particle":"","family":"König","given":"Gabriele M.","non-dropping-particle":"","parse-names":false,"suffix":""},{"dropping-particle":"","family":"Schäberle","given":"Till F.","non-dropping-particle":"","parse-names":false,"suffix":""}],"container-title":"Frontiers in microbiology","id":"ITEM-1","issue":"JUN","issued":{"date-parts":[["2017","6","14"]]},"publisher":"Front Microbiol","title":"Antimicrobial Potential of Bacteria Associated with Marine Sea Slugs from North Sulawesi, Indonesia","type":"article-journal","volume":"8"},"uris":["http://www.mendeley.com/documents/?uuid=181f1088-a712-3a7d-b62e-a1c6393913c2"]},{"id":"ITEM-2","itemData":{"DOI":"10.29303/JPPIPA.V10I7.8264","ISSN":"2407-795X","abstract":"Sponges have the potential to symbiont with bacteria that produce antibacterial compounds. This study was conducted to isolate and test the antibacterial activity of sponge symbiont bacteria. Bacterial isolates obtained were tested for antibacterial activity against Staphylococcus aureus, Bacillus subtilis and Escherichia coli using the Kirby-Bauer method. The identification results of both sponges have similarities with Clathria sp. and Hyrtios sp. symbiont bacteria obtained from both sponges as many as 16 isolates. Antibacterial activity testing had a weak inhibitory effect on isolates Sp1A, Sp2C, Sp2D and Sp2F, while Sp2J showed moderate inhibition against gram-negative and positive bacteria. The antibacterial activity of the whole supernatant of symbiont bacteria obtained the diameter of the inhibition zone with weak, medium and strong categories. Sp1A isolate supernatant was obtained, potentially able to fight Escherichia coli bacteria with a strong category as a representation of gram-negative bacteria and against gram-positive bacteria (Bacillus subtilis, Staphylococcus aureus) classified into the medium category. In conclusion, 16 symbiont bacterial supernatants have antibacterial activity mostly active against gram-negative bacteria Escherichia coli and gram-positive bacteria Bacillus subtilis. There are 6 isolates (Sp1A, Sp1B, Sp1E, Sp1F, Sp2D, Sp2F) active as antibacterial against Staphylococcus aureus with weak and moderate categories.","author":[{"dropping-particle":"","family":"Abdillah","given":"Latifah Ningrum","non-dropping-particle":"","parse-names":false,"suffix":""},{"dropping-particle":"","family":"Suryanto","given":"Dwi","non-dropping-particle":"","parse-names":false,"suffix":""},{"dropping-particle":"","family":"Nurtjahja","given":"Kiki","non-dropping-particle":"","parse-names":false,"suffix":""},{"dropping-particle":"","family":"Mamangkey","given":"Jendri","non-dropping-particle":"","parse-names":false,"suffix":""}],"container-title":"Jurnal Penelitian Pendidikan IPA","id":"ITEM-2","issue":"7","issued":{"date-parts":[["2024","7","25"]]},"page":"3780-3786","publisher":"Universitas Mataram","title":"Preliminary Study on Potential Bacterial Species Introducing Antibacterial Agent from Sponge in Unggeh Island Central Tapanuli, Indonesia","type":"article-journal","volume":"10"},"uris":["http://www.mendeley.com/documents/?uuid=ed33fc5e-4989-3de5-b4d5-0d67a96418f5"]}],"mendeley":{"formattedCitation":"(Abdillah et al., 2024; Böhringer et al., 2017)","manualFormatting":"Abdillah et al., (2024); Böhringer et al., (2017)","plainTextFormattedCitation":"(Abdillah et al., 2024; Böhringer et al., 2017)","previouslyFormattedCitation":"(Abdillah et al., 2024; Böhringer et al., 2017)"},"properties":{"noteIndex":0},"schema":"https://github.com/citation-style-language/schema/raw/master/csl-citation.json"}</w:instrText>
      </w:r>
      <w:r>
        <w:rPr>
          <w:lang w:val="en-US"/>
        </w:rPr>
        <w:fldChar w:fldCharType="separate"/>
      </w:r>
      <w:r>
        <w:rPr>
          <w:lang w:val="en-US"/>
        </w:rPr>
        <w:t xml:space="preserve">Abdillah </w:t>
      </w:r>
      <w:r>
        <w:rPr>
          <w:i/>
          <w:lang w:val="en-US"/>
        </w:rPr>
        <w:t>et al</w:t>
      </w:r>
      <w:r>
        <w:rPr>
          <w:lang w:val="en-US"/>
        </w:rPr>
        <w:t xml:space="preserve">. (2024) and Böhringer </w:t>
      </w:r>
      <w:r>
        <w:rPr>
          <w:i/>
          <w:lang w:val="en-US"/>
        </w:rPr>
        <w:t>et al</w:t>
      </w:r>
      <w:r>
        <w:rPr>
          <w:lang w:val="en-US"/>
        </w:rPr>
        <w:t>. (2017)</w:t>
      </w:r>
      <w:r>
        <w:rPr>
          <w:lang w:val="en-US"/>
        </w:rPr>
        <w:fldChar w:fldCharType="end"/>
      </w:r>
      <w:r>
        <w:rPr>
          <w:lang w:val="en-US"/>
        </w:rPr>
        <w:t xml:space="preserve"> in several regions of Indonesia; however, the bacterial associated with </w:t>
      </w:r>
      <w:r>
        <w:rPr>
          <w:i/>
          <w:iCs/>
          <w:lang w:val="en-US"/>
        </w:rPr>
        <w:t>H. magnifica</w:t>
      </w:r>
      <w:r>
        <w:rPr>
          <w:lang w:val="en-US"/>
        </w:rPr>
        <w:t xml:space="preserve"> remain insufficiently characterized, and their potential as producers of antibiofilm compounds is largely unexplored. Understanding the taxonomic identity of these symbiotic bacteria is crucial, as phylogenetic relationships often correlate with the types of secondary metabolites they can synthesize. Furthermore, optimizing growth media is essential for maximizing the production of bioactive metabolites, </w:t>
      </w:r>
      <w:r>
        <w:rPr>
          <w:rFonts w:hint="eastAsia"/>
          <w:lang w:val="en-US" w:eastAsia="ja-JP"/>
        </w:rPr>
        <w:t>as</w:t>
      </w:r>
      <w:r>
        <w:rPr>
          <w:lang w:val="en-US"/>
        </w:rPr>
        <w:t xml:space="preserve"> the composition of nutrient and environmental conditions significantly influences bacterial metabolite profiles </w:t>
      </w:r>
      <w:r>
        <w:rPr>
          <w:color w:val="000000"/>
          <w:lang w:val="en-US"/>
        </w:rPr>
        <w:fldChar w:fldCharType="begin" w:fldLock="1"/>
      </w:r>
      <w:r>
        <w:rPr>
          <w:color w:val="000000"/>
          <w:lang w:val="en-US"/>
        </w:rPr>
        <w:instrText xml:space="preserve">ADDIN CSL_CITATION {"citationItems":[{"id":"ITEM-1","itemData":{"DOI":"10.3390/COATINGS10121203","ISSN":"2079-6412","abstract":"The ability of microorganisms to degrade building materials depends on several factors. Biological corrosion occurs in close dependence with chemical and physical factors affecting microorganisms. The growth and development of microorganisms is stimulated by external stimuli, i.e., environmental factors. Microorganisms have a relatively large tolerance range for changes in environmental conditions. Under the right conditions, microorganisms thrive very well. The adverse effects may cause the inhibition of cell growth, damage, or lead to the death of the microorganism. Considering the impact of environmental factors on microorganisms, it is not possible to identify the most important of them. The result effect of overlapping factors determines the possibility of the growth of certain microorganisms. The main factors affecting the growth are temperature, humidity, hydrogen ion concentration in the environment, oxidoreductive potential, water activity in the environment, and hydrostatic pressure. This article provides a comprehensive overview of the factors causing biodeterioration. The influence of external/internal environment on the surface of cultural monuments made of mineral building materials, i.e., stone, concrete, mortar, etc., is presented.","author":[{"dropping-particle":"","family":"Stanaszek-Tomal","given":"Elżbieta","non-dropping-particle":"","parse-names":false,"suffix":""}],"container-title":"Coatings 2020, Vol. 10, Page 1203","id":"ITEM-1","issue":"12","issued":{"date-parts":[["2020","12","10"]]},"page":"1203","publisher":"Multidisciplinary Digital Publishing Institute","title":"Environmental Factors Causing the Development of Microorganisms on the Surfaces of National Cultural Monuments Made of Mineral Building Materials—Review","type":"article-journal","volume":"10"},"uris":["http://www.mendeley.com/documents/?uuid=e32cb37a-6ef8-3eac-a2d5-52c62083e3ef"]}],"mendeley":{"formattedCitation":"(Stanaszek-Tomal, 2020)","plainTextFormattedCitation":"(Stanaszek-Tomal, 2020)","previouslyFormattedCitation":"(Stanaszek-Tomal, 2020)"},"properties":{"noteIndex":0},"schema":"https://github.com/citation-style-language/schema/raw/master/csl-citation.json"}</w:instrText>
      </w:r>
      <w:r>
        <w:rPr>
          <w:color w:val="000000"/>
          <w:lang w:val="en-US"/>
        </w:rPr>
        <w:fldChar w:fldCharType="separate"/>
      </w:r>
      <w:r>
        <w:rPr>
          <w:color w:val="000000"/>
          <w:lang w:val="en-US"/>
        </w:rPr>
        <w:t>(Stanaszek-Tomal, 2020)</w:t>
      </w:r>
      <w:r>
        <w:rPr>
          <w:color w:val="000000"/>
          <w:lang w:val="en-US"/>
        </w:rPr>
        <w:fldChar w:fldCharType="end"/>
      </w:r>
      <w:r>
        <w:rPr>
          <w:lang w:val="en-US"/>
        </w:rPr>
        <w:t>. Customizing culture media can increase bioactive compound production, thereby facilitating the detection and characterization of their antimicrobial or antibiofilm activities.</w:t>
      </w:r>
    </w:p>
    <w:p w14:paraId="05EAC47B">
      <w:pPr>
        <w:spacing w:after="0" w:line="240" w:lineRule="auto"/>
        <w:ind w:firstLine="220"/>
        <w:jc w:val="both"/>
        <w:rPr>
          <w:lang w:val="en-US"/>
        </w:rPr>
      </w:pPr>
      <w:r>
        <w:rPr>
          <w:lang w:val="en-US"/>
        </w:rPr>
        <w:t xml:space="preserve">Considering these factors, investigating symbiotic bacteria associated with </w:t>
      </w:r>
      <w:r>
        <w:rPr>
          <w:i/>
          <w:iCs/>
          <w:lang w:val="en-US"/>
        </w:rPr>
        <w:t>H. magnifica</w:t>
      </w:r>
      <w:r>
        <w:rPr>
          <w:lang w:val="en-US"/>
        </w:rPr>
        <w:t xml:space="preserve"> offers promising opportunities to identify novel antibiofilm-producing strains. This study seeks to optimize growth media for enhanced bacterial cultivation, evaluate the antibiofilm activity of the isolates, and conduct taxonomic identification to characterize the symbiotic bacteria associated with </w:t>
      </w:r>
      <w:r>
        <w:rPr>
          <w:i/>
          <w:iCs/>
          <w:lang w:val="en-US"/>
        </w:rPr>
        <w:t xml:space="preserve">H. magnifica. </w:t>
      </w:r>
      <w:r>
        <w:rPr>
          <w:lang w:val="en-US"/>
        </w:rPr>
        <w:t xml:space="preserve">The findings are expected to contribute to the discovery of new marine-derived antimicrobial agents and to expand knowledge of host-associated microbial diversity in marine ecosystems. </w:t>
      </w:r>
    </w:p>
    <w:p w14:paraId="66F782A5">
      <w:pPr>
        <w:spacing w:after="0" w:line="240" w:lineRule="auto"/>
        <w:ind w:hanging="2"/>
        <w:jc w:val="both"/>
        <w:rPr>
          <w:sz w:val="20"/>
          <w:szCs w:val="20"/>
          <w:lang w:val="en-US"/>
        </w:rPr>
      </w:pPr>
    </w:p>
    <w:p w14:paraId="4D1F5DC1">
      <w:pPr>
        <w:spacing w:after="0" w:line="240" w:lineRule="auto"/>
        <w:ind w:hanging="2"/>
        <w:jc w:val="both"/>
        <w:rPr>
          <w:sz w:val="20"/>
          <w:szCs w:val="20"/>
          <w:lang w:val="en-US"/>
        </w:rPr>
      </w:pPr>
    </w:p>
    <w:p w14:paraId="3EC4A611">
      <w:pPr>
        <w:spacing w:after="0" w:line="240" w:lineRule="auto"/>
        <w:ind w:hanging="2"/>
        <w:jc w:val="both"/>
        <w:rPr>
          <w:sz w:val="24"/>
          <w:szCs w:val="24"/>
        </w:rPr>
      </w:pPr>
      <w:bookmarkStart w:id="1" w:name="_heading=h.1fob9te" w:colFirst="0" w:colLast="0"/>
      <w:bookmarkEnd w:id="1"/>
      <w:r>
        <w:rPr>
          <w:b/>
          <w:sz w:val="24"/>
          <w:szCs w:val="24"/>
        </w:rPr>
        <w:t>Materials and Methods</w:t>
      </w:r>
    </w:p>
    <w:p w14:paraId="48B49440">
      <w:pPr>
        <w:spacing w:after="0" w:line="240" w:lineRule="auto"/>
        <w:ind w:hanging="2"/>
        <w:jc w:val="both"/>
        <w:rPr>
          <w:sz w:val="20"/>
          <w:szCs w:val="20"/>
        </w:rPr>
      </w:pPr>
    </w:p>
    <w:p w14:paraId="178F1535">
      <w:pPr>
        <w:spacing w:after="0" w:line="240" w:lineRule="auto"/>
        <w:ind w:hanging="2"/>
        <w:jc w:val="both"/>
      </w:pPr>
      <w:r>
        <w:rPr>
          <w:b/>
        </w:rPr>
        <w:t xml:space="preserve">Bacterial culture. </w:t>
      </w:r>
      <w:r>
        <w:t xml:space="preserve">The </w:t>
      </w:r>
      <w:bookmarkStart w:id="2" w:name="_Hlk215755471"/>
      <w:r>
        <w:t xml:space="preserve">bacterial samples associated with the </w:t>
      </w:r>
      <w:r>
        <w:rPr>
          <w:i/>
          <w:iCs/>
        </w:rPr>
        <w:t>H. magnifica</w:t>
      </w:r>
      <w:r>
        <w:t xml:space="preserve"> anemone </w:t>
      </w:r>
      <w:bookmarkEnd w:id="2"/>
      <w:r>
        <w:t>(CM01 and CM03) were collected from Samalona Island, South Sulawesi, Indonesia (5°07'27"S 119°20'37"E) in April 2024. The frozen isolates, stored at −80 °C, were reactivated by streaking onto Zobell Marine 2216 agar and incubating at 37 °C for 24 hours. A single colony was subsequently selected and inoculated into Zobell Marine 2216 broth, followed by incubation at 37 °C with shaking at 250 rpm for 24 hours.</w:t>
      </w:r>
    </w:p>
    <w:p w14:paraId="5C348189">
      <w:pPr>
        <w:spacing w:after="0" w:line="240" w:lineRule="auto"/>
        <w:ind w:hanging="2"/>
        <w:jc w:val="both"/>
        <w:rPr>
          <w:sz w:val="20"/>
          <w:szCs w:val="20"/>
        </w:rPr>
      </w:pPr>
    </w:p>
    <w:p w14:paraId="0FF904B9">
      <w:pPr>
        <w:spacing w:after="0" w:line="240" w:lineRule="auto"/>
        <w:ind w:hanging="2"/>
        <w:jc w:val="both"/>
        <w:rPr>
          <w:lang w:val="en-US"/>
        </w:rPr>
      </w:pPr>
      <w:r>
        <w:rPr>
          <w:b/>
        </w:rPr>
        <w:t xml:space="preserve">Optimization of growth media and metabolite production. </w:t>
      </w:r>
      <w:r>
        <w:rPr>
          <w:bCs/>
        </w:rPr>
        <w:t xml:space="preserve">Growth media optimization was performed by evaluating several formulations: Tryptic Soy Broth (TSB) medium (1.7% </w:t>
      </w:r>
      <w:r>
        <w:t>pancreatic digest of casein, 0.3%</w:t>
      </w:r>
      <w:r>
        <w:rPr>
          <w:lang w:val="en-US"/>
        </w:rPr>
        <w:t xml:space="preserve"> </w:t>
      </w:r>
      <w:r>
        <w:t>peptic digest of soybean, 0.5%</w:t>
      </w:r>
      <w:r>
        <w:rPr>
          <w:lang w:val="en-US"/>
        </w:rPr>
        <w:t xml:space="preserve"> </w:t>
      </w:r>
      <w:r>
        <w:t>sodium chloride, 0.25% dipotassium phosphate, 0.25% glucose,</w:t>
      </w:r>
      <w:r>
        <w:rPr>
          <w:lang w:val="en-US"/>
        </w:rPr>
        <w:t xml:space="preserve"> </w:t>
      </w:r>
      <w:r>
        <w:t xml:space="preserve">pH 7.3) </w:t>
      </w:r>
      <w:r>
        <w:rPr>
          <w:bCs/>
        </w:rPr>
        <w:t>supplemented with either 2% or 8% NaCl and</w:t>
      </w:r>
      <w:r>
        <w:t xml:space="preserve"> 2% peptone as an inducer; Nutrient Broth (NB) medium </w:t>
      </w:r>
      <w:r>
        <w:rPr>
          <w:bCs/>
        </w:rPr>
        <w:t>(</w:t>
      </w:r>
      <w:r>
        <w:t>0.3%</w:t>
      </w:r>
      <w:r>
        <w:rPr>
          <w:lang w:val="en-US"/>
        </w:rPr>
        <w:t xml:space="preserve"> </w:t>
      </w:r>
      <w:r>
        <w:t>beef extract, 0.5%</w:t>
      </w:r>
      <w:r>
        <w:rPr>
          <w:lang w:val="en-US"/>
        </w:rPr>
        <w:t xml:space="preserve"> </w:t>
      </w:r>
      <w:r>
        <w:t>peptone, 0.5% sodium chloride, pH 7.2) with 2% or 8% NaCl and 2% peptone; and Zobell medium with 2% peptone. Each medium variant was evaluated at incubation temperatures of 28 °C, 30 °C, and 37 °C over periods of 24, 48, 72, and 96 hours in a shaker incubator with agitation at 250 rpm. Bacterial growth was anal</w:t>
      </w:r>
      <w:r>
        <w:rPr>
          <w:lang w:val="en-US"/>
        </w:rPr>
        <w:t>y</w:t>
      </w:r>
      <w:r>
        <w:t xml:space="preserve">zed by measuring optical density at 600 nm, and the resulting data were used to generate growth curves </w:t>
      </w:r>
      <w:r>
        <w:fldChar w:fldCharType="begin" w:fldLock="1"/>
      </w:r>
      <w:r>
        <w:instrText xml:space="preserve">ADDIN CSL_CITATION {"citationItems":[{"id":"ITEM-1","itemData":{"DOI":"10.1111/JAM.15764","ISSN":"1365-2672","PMID":"35929370","abstract":"Aims: This study examined and characterized the extract for metabolites of Halobacillus marinus HMALI004 to understand their antibacterial activities against opportunistic marine pathogens, that is, Vibrio parahaemolyticus and Vibrio cholerae. Methods and Results: The bacterial strain HMALI004 was characterized as H. marinus, and an antibacterial spectral test revealed its inhibition against two opportunistic marine pathogens (V. parahaemolyticus and V. cholera). Fermentation broth of strain HMALI004 was subjected to column chromatography and high-performance liquid chromatography to separate antibacterial substances. Two compounds were successfully isolated and identified as 1H-pyrrole-2-carboxylic acid and 4-chloro-1H-pyrrole-2-carboxylic acid by mass spectrometry (MS) and nuclear magnetic resonance. The minimal inhibition concentration (MIC) values of 1H-pyrrole-2-carboxylic acid and 4-chloro-1H-pyrrole-2-carboxylic acid for V. parahaemolyticus were 25 μg/ml, while their MIC values for V. cholerae were 50 and 100 μg/ml, respectively. The reactive oxygen species (ROS) production of two pathogen strains treated with 1H-pyrrole-2-carboxylic acid and 4-chloro-1H-pyrrole-2-carboxylic acid were detected to investigate the antimicrobial mechanism. The results suggested that 4-chloro-1H-pyrrole-2-carboxylic acid exerted enhanced ROS production in V. parahaemolyticus, whereas 1H-pyrrole-2-carboxylic acid had a weaker effect. Both compounds caused a significant rise in ROS production in V. cholerae, causing severe damage to the cell wall and cytoplasm, leading to cell death. Conclusions: The bacterium H. marinus HMALI004 was isolated from a shrimp pond and was found to produce antimicrobial compounds, which could inhibit the growth of opportunistic marine pathogens V. parahaemolyticus and V. cholerae by increasing ROS. Significance and Impact of the Study: Successfully isolated antibacterial-producing strain, H. marinus HMALI004, and its antimicrobial compounds could be used as biological control agents for marine pathogens.","author":[{"dropping-particle":"","family":"Ali","given":"Sardar","non-dropping-particle":"","parse-names":false,"suffix":""},{"dropping-particle":"","family":"Cai","given":"Runlin","non-dropping-particle":"","parse-names":false,"suffix":""},{"dropping-particle":"","family":"Feng","given":"Hao","non-dropping-particle":"","parse-names":false,"suffix":""},{"dropping-particle":"","family":"Xie","given":"Jianmin","non-dropping-particle":"","parse-names":false,"suffix":""},{"dropping-particle":"","family":"Zhang","given":"Yueling","non-dropping-particle":"","parse-names":false,"suffix":""},{"dropping-particle":"","family":"Wang","given":"Hui","non-dropping-particle":"","parse-names":false,"suffix":""}],"container-title":"Journal of applied microbiology","id":"ITEM-1","issue":"5","issued":{"date-parts":[["2022","11","1"]]},"page":"3030-3040","publisher":"J Appl Microbiol","title":"Identification of antibacterial metabolites produced by a marine bacterium Halobacillus marinus HMALI004","type":"article-journal","volume":"133"},"uris":["http://www.mendeley.com/documents/?uuid=e9a7be43-95a6-3efb-b461-1b5a8a2cd30f"]},{"id":"ITEM-2","itemData":{"DOI":"10.3390/MOLECULES29030695","ISSN":"1420-3049","PMID":"38338439","abstract":"The literature presents the preserving effect of biological coatings developed from various microbial sources. However, the presented work exhibits its uniqueness in the utilization of halophilic exopolysaccharides as food coating material. Moreover, such extremophilic exopolysaccharides are more stable and economical production is possible. Consequently, the aim of the presented research was to develop a coating material from marine exopolysaccharide (EPS). The significant EPS producers having antagonistic attributes against selected phytopathogens were screened from different marine water and soil samples. TSIS01 isolate revealed the maximum antagonism well and EPS production was selected further and characterized as Bacillus tequilensis MS01 by 16S rRNA analysis. EPS production was optimized and deproteinized EPS was assessed for biophysical properties. High performance thin layer chromatography (HPTLC) analysis revealed that EPS was a heteropolymer of glucose, galactose, mannose, and glucuronic acid. Fourier transform infrared spectroscopy, X-ray diffraction, and UV-visible spectra validated the presence of determined sugars. It showed high stability at a wide range of temperatures, pH and incubation time, ≈1.63 × 106 Da molecular weight, intermediate solubility index (48.2 ± 3.12%), low water holding capacity (12.4 ± 1.93%), and pseudoplastic rheologic shear-thinning comparable to xanthan gum. It revealed antimicrobial potential against human pathogens and antioxidants as well as anti-inflammatory potential. The biocontrol assay of EPS against phytopathogens revealed the highest activity against Alternaria solani. The EPS-coated and control tomato fruits were treated with A. solani suspension to check the % disease incidence, which revealed a significant (p &lt; 0.001) decline compared to uncoated controls. Moreover, it revealed shelf-life prolonging action on tomatoes comparable to xanthan gum and higher than chitosan. Consequently, the presented marine EPS was elucidated as a potent coating material to mitigate post-harvest losses.","author":[{"dropping-particle":"","family":"Upadhyaya","given":"Chandni","non-dropping-particle":"","parse-names":false,"suffix":""},{"dropping-particle":"","family":"Patel","given":"Hiren","non-dropping-particle":"","parse-names":false,"suffix":""},{"dropping-particle":"","family":"Patel","given":"Ishita","non-dropping-particle":"","parse-names":false,"suffix":""},{"dropping-particle":"","family":"Ahir","given":"Parth","non-dropping-particle":"","parse-names":false,"suffix":""},{"dropping-particle":"","family":"Upadhyaya","given":"Trushit","non-dropping-particle":"","parse-names":false,"suffix":""}],"container-title":"Molecules 2024, Vol. 29, Page 695","id":"ITEM-2","issue":"3","issued":{"date-parts":[["2024","2","2"]]},"page":"695","publisher":"Multidisciplinary Digital Publishing Institute","title":"Development of Biological Coating from Novel Halophilic Exopolysaccharide Exerting Shelf-Life-Prolonging and Biocontrol Actions for Post-Harvest Applications","type":"article-journal","volume":"29"},"uris":["http://www.mendeley.com/documents/?uuid=3f49183f-a508-3249-8580-839fed5b94c7"]},{"id":"ITEM-3","itemData":{"DOI":"10.1186/S42269-018-0033-2","ISSN":"2522-8307","abstract":"Amylases are among the most important enzymes which are of great significance for biotechnology and have almost completely replaced chemical hydrolysis of starch in the starch processing industry. The present study was concerned with the production and optimization of extracellular α-amylase from Bacillus sp. NRC22017. The effect of various fermentation conditions on α-amylase production through shake-flask culture was investigated. Bacterial strain produces α-amylase was isolated from water in Wadi El-Natron. Based on microbiological, biochemical tests, and 16S rRNA gene sequences, the isolate was identified as Bacillus sp. NRC22017 and was later used for further studies. Maximum yield of α-amylase is 15.15 ± 0.47&amp;nbsp;U/ml from Bacillus sp. NRC22017; this strain is characterized with high temperature and high salinity in cultivated culture, and achieved maximum yield of α-amylase at pH 6.0 with inoculum size of 500&amp;nbsp;μl at 45&amp;nbsp;°C and aerobically incubation period of 72&amp;nbsp;h. The optimum volume of the fermentation medium was found to be 20&amp;nbsp;ml in 100&amp;nbsp;ml Erlenmeyer flask; the best starch and meat extract plus peptone concentration that provided the highest enzyme production from Bacillus sp. NRC22017 were found to be 2% and 1.05% (w/v) respectively. Enzyme production was higher after optimizing the production conditions as compared to the basal medium.","author":[{"dropping-particle":"","family":"Elmansy","given":"Eman A.","non-dropping-particle":"","parse-names":false,"suffix":""},{"dropping-particle":"","family":"Asker","given":"Mohsen S.","non-dropping-particle":"","parse-names":false,"suffix":""},{"dropping-particle":"","family":"El-Kady","given":"Ebtsam M.","non-dropping-particle":"","parse-names":false,"suffix":""},{"dropping-particle":"","family":"Hassanein","given":"Saadia M.","non-dropping-particle":"","parse-names":false,"suffix":""},{"dropping-particle":"","family":"El-Beih","given":"Fawkia M.","non-dropping-particle":"","parse-names":false,"suffix":""}],"container-title":"Bulletin of the National Research Centre 2018 42:1","id":"ITEM-3","issue":"1","issued":{"date-parts":[["2018","12","13"]]},"page":"31-","publisher":"SpringerOpen","title":"Production and optimization of α-amylase from thermo-halophilic bacteria isolated from different local marine environments","type":"article-journal","volume":"42"},"uris":["http://www.mendeley.com/documents/?uuid=384dd9a2-37f6-3764-95e3-f8f5744919ce"]}],"mendeley":{"formattedCitation":"(Ali et al., 2022; Elmansy et al., 2018; Upadhyaya et al., 2024)","plainTextFormattedCitation":"(Ali et al., 2022; Elmansy et al., 2018; Upadhyaya et al., 2024)","previouslyFormattedCitation":"(Ali et al., 2022; Elmansy et al., 2018; Upadhyaya et al., 2024)"},"properties":{"noteIndex":0},"schema":"https://github.com/citation-style-language/schema/raw/master/csl-citation.json"}</w:instrText>
      </w:r>
      <w:r>
        <w:fldChar w:fldCharType="separate"/>
      </w:r>
      <w:r>
        <w:t xml:space="preserve">(Upadhyaya </w:t>
      </w:r>
      <w:r>
        <w:rPr>
          <w:i/>
        </w:rPr>
        <w:t>et al</w:t>
      </w:r>
      <w:r>
        <w:t>., 2024)</w:t>
      </w:r>
      <w:r>
        <w:fldChar w:fldCharType="end"/>
      </w:r>
      <w:r>
        <w:t xml:space="preserve">. Secondary metabolite production was conducted on isolates cultivated under their optimized growth conditions. Metabolite-containing supernatants were obtained by centrifugation at 12,000 rpm for 15 minutes at </w:t>
      </w:r>
      <w:r>
        <w:rPr>
          <w:lang w:val="en-US"/>
        </w:rPr>
        <w:t>4 °C.</w:t>
      </w:r>
    </w:p>
    <w:p w14:paraId="62785F5D">
      <w:pPr>
        <w:spacing w:after="0" w:line="240" w:lineRule="auto"/>
        <w:ind w:hanging="2"/>
        <w:jc w:val="both"/>
        <w:rPr>
          <w:sz w:val="20"/>
          <w:szCs w:val="20"/>
        </w:rPr>
      </w:pPr>
    </w:p>
    <w:p w14:paraId="27AF0B60">
      <w:pPr>
        <w:spacing w:after="0" w:line="240" w:lineRule="auto"/>
        <w:ind w:hanging="2"/>
        <w:jc w:val="both"/>
        <w:rPr>
          <w:lang w:val="en-US"/>
        </w:rPr>
      </w:pPr>
      <w:r>
        <w:rPr>
          <w:b/>
        </w:rPr>
        <w:t>Antibiofilm activity assay</w:t>
      </w:r>
      <w:r>
        <w:t xml:space="preserve">. </w:t>
      </w:r>
      <w:r>
        <w:rPr>
          <w:lang w:val="en-US"/>
        </w:rPr>
        <w:t>The antibiofilm activity of marine bacterial isolates against pathogenic bacteria was assessed using a modified Crystal Violet (CV) assay (</w:t>
      </w:r>
      <w:r>
        <w:rPr>
          <w:lang w:val="en-US"/>
        </w:rPr>
        <w:fldChar w:fldCharType="begin" w:fldLock="1"/>
      </w:r>
      <w:r>
        <w:rPr>
          <w:lang w:val="en-US"/>
        </w:rPr>
        <w:instrText xml:space="preserve">ADDIN CSL_CITATION {"citationItems":[{"id":"ITEM-1","itemData":{"DOI":"10.1016/J.BIOPHA.2021.112198","ISSN":"0753-3322","PMID":"34656058","abstract":"Erythrina poeppigiana belongs to Fabaceae family (subfamily Papillionoideae) and is commonly found in tropical and subtropical regions in Brazil. Herein, we described the purification and characterization of a new Kunitz-type inhibitor, obtained from E. poeppigiana seeds (EpTI). EpTI is composed by three isoforms of identical amino-terminal sequences with a molecular weight ranging from 17 to 20 kDa. The physicochemical features showed by EpTI are common to Kunitz inhibitors, including the dissociation constant (13.1 nM), stability against thermal (37–100 °C) and pH (2–10) ranging, and the presence of disulfide bonds stabilizing its reactive site. Furthermore, we investigated the antimicrobial, anti-adhesion, and anti-biofilm properties of EpTI against Gram-positive and negative bacteria. The inhibitor showed antimicrobial activity with a minimum inhibitory concentration (MIC, 5–10 µM) and minimum bactericidal concentration (MBC) of 10 µM for Enterobacter aerogenes, Enterobacter cloacae, Klebsiella pneumoniae, Staphylococcus aureus, and Staphylococcus haemolyticus. The combination of EpTI with ciprofloxacin showed a marked synergistic effect, reducing the antibiotic concentration by 150%. The increase in crystal violet uptake for S. aureus and K. pneumoniae strains was approximately 30% and 50%, respectively, suggesting that the bacteria plasma membrane is targeted by EpTI. Treatment with EpTI at 1x and 10 x MIC significantly reduced the biofilm formation and prompted the disruption of a mature biofilm. At MIC/2, EpTI decreased the bacterial adhesion to polystyrene surface within 2 h. Finally, EpTI showed low toxicity in animal model Galleria mellonella. Given its antimicrobial and anti-biofilm properties, the EpTI sequence might be used to design novel drug prototypes.","author":[{"dropping-particle":"","family":"Alencar de Barros","given":"Karina Margareti","non-dropping-particle":"","parse-names":false,"suffix":""},{"dropping-particle":"","family":"Sardi","given":"Janaina de Cássia Orlandi","non-dropping-particle":"","parse-names":false,"suffix":""},{"dropping-particle":"","family":"Maria-Neto","given":"Simone","non-dropping-particle":"","parse-names":false,"suffix":""},{"dropping-particle":"","family":"Macedo","given":"Alexandre José","non-dropping-particle":"","parse-names":false,"suffix":""},{"dropping-particle":"","family":"Ramalho","given":"Suellen Rodrigues","non-dropping-particle":"","parse-names":false,"suffix":""},{"dropping-particle":"","family":"Lourenço de Oliveira","given":"Daniella Gorete","non-dropping-particle":"","parse-names":false,"suffix":""},{"dropping-particle":"","family":"Pontes","given":"Gemilson Soares","non-dropping-particle":"","parse-names":false,"suffix":""},{"dropping-particle":"","family":"Weber","given":"Simone Schneider","non-dropping-particle":"","parse-names":false,"suffix":""},{"dropping-particle":"","family":"Ramalho de Oliveira","given":"Caio Fernando","non-dropping-particle":"","parse-names":false,"suffix":""},{"dropping-particle":"","family":"Macedo","given":"Maria Lígia Rodrigues","non-dropping-particle":"","parse-names":false,"suffix":""}],"container-title":"Biomedicine &amp; Pharmacotherapy","id":"ITEM-1","issued":{"date-parts":[["2021","12","1"]]},"page":"112198","publisher":"Elsevier Masson","title":"A new Kunitz trypsin inhibitor from Erythrina poeppigiana exhibits antimicrobial and antibiofilm properties against bacteria","type":"article-journal","volume":"144"},"uris":["http://www.mendeley.com/documents/?uuid=18d01906-af8d-3c13-be14-38257c7a5f6c"]}],"mendeley":{"formattedCitation":"(Alencar de Barros et al., 2021)","manualFormatting":"Alencar de Barros et al., (2021)","plainTextFormattedCitation":"(Alencar de Barros et al., 2021)","previouslyFormattedCitation":"(Alencar de Barros et al., 2021)"},"properties":{"noteIndex":0},"schema":"https://github.com/citation-style-language/schema/raw/master/csl-citation.json"}</w:instrText>
      </w:r>
      <w:r>
        <w:rPr>
          <w:lang w:val="en-US"/>
        </w:rPr>
        <w:fldChar w:fldCharType="separate"/>
      </w:r>
      <w:r>
        <w:rPr>
          <w:lang w:val="en-US"/>
        </w:rPr>
        <w:t xml:space="preserve">Alencar de Barros </w:t>
      </w:r>
      <w:r>
        <w:rPr>
          <w:i/>
          <w:lang w:val="en-US"/>
        </w:rPr>
        <w:t>et al</w:t>
      </w:r>
      <w:r>
        <w:rPr>
          <w:lang w:val="en-US"/>
        </w:rPr>
        <w:t>., 2021)</w:t>
      </w:r>
      <w:r>
        <w:rPr>
          <w:lang w:val="en-US"/>
        </w:rPr>
        <w:fldChar w:fldCharType="end"/>
      </w:r>
      <w:r>
        <w:rPr>
          <w:lang w:val="en-US"/>
        </w:rPr>
        <w:t xml:space="preserve">. Pathogenic bacteria, including </w:t>
      </w:r>
      <w:r>
        <w:rPr>
          <w:i/>
          <w:lang w:val="en-US"/>
        </w:rPr>
        <w:t>Escherichia coli</w:t>
      </w:r>
      <w:r>
        <w:rPr>
          <w:lang w:val="en-US"/>
        </w:rPr>
        <w:t xml:space="preserve">, </w:t>
      </w:r>
      <w:r>
        <w:rPr>
          <w:i/>
          <w:lang w:val="en-US"/>
        </w:rPr>
        <w:t>Pseudomonas aeruginosa</w:t>
      </w:r>
      <w:r>
        <w:rPr>
          <w:lang w:val="en-US"/>
        </w:rPr>
        <w:t xml:space="preserve">, </w:t>
      </w:r>
      <w:r>
        <w:rPr>
          <w:i/>
          <w:lang w:val="en-US"/>
        </w:rPr>
        <w:t>Bacillus subtilis</w:t>
      </w:r>
      <w:r>
        <w:rPr>
          <w:lang w:val="en-US"/>
        </w:rPr>
        <w:t xml:space="preserve">, </w:t>
      </w:r>
      <w:r>
        <w:rPr>
          <w:i/>
          <w:lang w:val="en-US"/>
        </w:rPr>
        <w:t>Staphylococcus epidermidis</w:t>
      </w:r>
      <w:r>
        <w:rPr>
          <w:lang w:val="en-US"/>
        </w:rPr>
        <w:t xml:space="preserve">, and </w:t>
      </w:r>
      <w:r>
        <w:rPr>
          <w:i/>
          <w:lang w:val="en-US"/>
        </w:rPr>
        <w:t>Staphylococcus aureus,</w:t>
      </w:r>
      <w:r>
        <w:rPr>
          <w:lang w:val="en-US"/>
        </w:rPr>
        <w:t xml:space="preserve"> were cultured in Luria-Bertani (LB) medium </w:t>
      </w:r>
      <w:r>
        <w:rPr>
          <w:bCs/>
        </w:rPr>
        <w:t>(</w:t>
      </w:r>
      <w:r>
        <w:t xml:space="preserve">1% </w:t>
      </w:r>
      <w:r>
        <w:rPr>
          <w:lang w:val="en-US"/>
        </w:rPr>
        <w:t>B</w:t>
      </w:r>
      <w:r>
        <w:t xml:space="preserve">acto-tryptone, 0.5% yeast extract, 1% sodium chloride, pH 7.0) </w:t>
      </w:r>
      <w:r>
        <w:rPr>
          <w:lang w:val="en-US"/>
        </w:rPr>
        <w:t>at 37 °C for 24 hours. The pathogenic bacterial cultures, diluted 1:100 in LB medium, were co-cultured with symbiont bacterial metabolites at ratios of 1:1 and 2:1 (metabolites:pathogen) in a 96-well plate and incubated at 37 °C for 24 hours. Subsequently, the planktonic cells and media were discarded, and the wells were washed 2-3 times with sterile water. Biofilms were stained with 125 μL of 1% CV for 15 minutes at 26 °C, washed three times with 200 μL of sterile water, and air-dried for 15 minutes. The bound dye was solubilized with 125 μL of 30% acetic acid and incubated at 26 °C for 15 minutes. Qualitative assessment was conducted by observing the formed biofilm on the plate. Absorbance at 570 nm was measured using a microplate reader. Pathogens treated with antibiotics served as the negative control, while untreated pathogens were used as the positive control. The percentage of biofilm inhibition was calculated using the following formula:</w:t>
      </w:r>
    </w:p>
    <w:p w14:paraId="0D0C24D4">
      <w:pPr>
        <w:spacing w:after="0" w:line="240" w:lineRule="auto"/>
        <w:ind w:hanging="2"/>
        <w:jc w:val="both"/>
        <w:rPr>
          <w:sz w:val="20"/>
          <w:szCs w:val="20"/>
          <w:lang w:val="en-US"/>
        </w:rPr>
        <w:sectPr>
          <w:footerReference r:id="rId7" w:type="default"/>
          <w:footerReference r:id="rId8" w:type="even"/>
          <w:pgSz w:w="11900" w:h="16840"/>
          <w:pgMar w:top="1418" w:right="1418" w:bottom="1418" w:left="1417" w:header="706" w:footer="706" w:gutter="0"/>
          <w:pgNumType w:fmt="decimal" w:start="20"/>
          <w:cols w:equalWidth="0" w:num="2">
            <w:col w:w="4320" w:space="425"/>
            <w:col w:w="4320"/>
          </w:cols>
        </w:sectPr>
      </w:pPr>
    </w:p>
    <w:p w14:paraId="55EB1E10">
      <w:pPr>
        <w:spacing w:after="0" w:line="240" w:lineRule="auto"/>
        <w:ind w:hanging="2"/>
        <w:jc w:val="both"/>
        <w:rPr>
          <w:sz w:val="20"/>
          <w:szCs w:val="20"/>
          <w:lang w:val="en-US"/>
        </w:rPr>
      </w:pPr>
    </w:p>
    <w:p w14:paraId="6A865275">
      <w:pPr>
        <w:spacing w:after="0" w:line="240" w:lineRule="auto"/>
        <w:ind w:hanging="2"/>
        <w:jc w:val="both"/>
        <w:rPr>
          <w:rFonts w:hAnsi="Cambria Math"/>
          <w:sz w:val="20"/>
          <w:szCs w:val="20"/>
          <w:lang w:val="en-US"/>
        </w:rPr>
      </w:pPr>
      <m:oMathPara>
        <m:oMath>
          <m:r>
            <m:rPr>
              <m:sty m:val="p"/>
            </m:rPr>
            <w:rPr>
              <w:rFonts w:hint="default" w:ascii="Cambria Math" w:hAnsi="Cambria Math" w:cs="Calibri"/>
              <w:sz w:val="20"/>
              <w:szCs w:val="20"/>
              <w:lang w:val="en-US"/>
            </w:rPr>
            <m:t>Percentage inhibition =</m:t>
          </m:r>
          <m:f>
            <m:fPr>
              <m:ctrlPr>
                <w:rPr>
                  <w:rFonts w:hint="default" w:ascii="Cambria Math" w:hAnsi="Cambria Math" w:cs="Calibri"/>
                  <w:sz w:val="20"/>
                  <w:szCs w:val="20"/>
                  <w:lang w:val="en-US"/>
                </w:rPr>
              </m:ctrlPr>
            </m:fPr>
            <m:num>
              <m:r>
                <m:rPr>
                  <m:sty m:val="p"/>
                </m:rPr>
                <w:rPr>
                  <w:rFonts w:hint="default" w:ascii="Cambria Math" w:hAnsi="Cambria Math" w:cs="Calibri"/>
                  <w:sz w:val="20"/>
                  <w:szCs w:val="20"/>
                  <w:lang w:val="en-US"/>
                </w:rPr>
                <m:t>(absorbance of positive control − absorbance of treatment)</m:t>
              </m:r>
              <m:ctrlPr>
                <w:rPr>
                  <w:rFonts w:hint="default" w:ascii="Cambria Math" w:hAnsi="Cambria Math" w:cs="Calibri"/>
                  <w:sz w:val="20"/>
                  <w:szCs w:val="20"/>
                  <w:lang w:val="en-US"/>
                </w:rPr>
              </m:ctrlPr>
            </m:num>
            <m:den>
              <m:r>
                <m:rPr>
                  <m:sty m:val="p"/>
                </m:rPr>
                <w:rPr>
                  <w:rFonts w:hint="default" w:ascii="Cambria Math" w:hAnsi="Cambria Math" w:cs="Calibri"/>
                  <w:sz w:val="20"/>
                  <w:szCs w:val="20"/>
                  <w:lang w:val="en-US"/>
                </w:rPr>
                <m:t>absorbance of positive control</m:t>
              </m:r>
              <m:ctrlPr>
                <w:rPr>
                  <w:rFonts w:hint="default" w:ascii="Cambria Math" w:hAnsi="Cambria Math" w:cs="Calibri"/>
                  <w:sz w:val="20"/>
                  <w:szCs w:val="20"/>
                  <w:lang w:val="en-US"/>
                </w:rPr>
              </m:ctrlPr>
            </m:den>
          </m:f>
          <m:r>
            <m:rPr>
              <m:sty m:val="p"/>
            </m:rPr>
            <w:rPr>
              <w:rFonts w:hint="default" w:ascii="Cambria Math" w:hAnsi="Cambria Math" w:cs="Calibri"/>
              <w:sz w:val="20"/>
              <w:szCs w:val="20"/>
              <w:lang w:val="en-US"/>
            </w:rPr>
            <m:t>× 100%</m:t>
          </m:r>
          <m:r>
            <m:rPr>
              <m:sty m:val="p"/>
            </m:rPr>
            <w:rPr>
              <w:rFonts w:hint="default" w:ascii="Cambria Math" w:hAnsi="Cambria Math" w:cs="Calibri"/>
              <w:sz w:val="20"/>
              <w:szCs w:val="20"/>
              <w:lang w:val="en-US"/>
            </w:rPr>
            <w:br w:type="textWrapping"/>
          </m:r>
        </m:oMath>
      </m:oMathPara>
    </w:p>
    <w:p w14:paraId="55700325">
      <w:pPr>
        <w:spacing w:after="0" w:line="240" w:lineRule="auto"/>
        <w:ind w:hanging="2"/>
        <w:jc w:val="both"/>
        <w:rPr>
          <w:lang w:val="en-US"/>
        </w:rPr>
      </w:pPr>
      <w:r>
        <w:rPr>
          <w:lang w:val="en-US"/>
        </w:rPr>
        <w:t xml:space="preserve">where the absorbance of treatment refers to wells treated with either antibiotics or the tested bacterial isolates. All assays were performed in triplicate. </w:t>
      </w:r>
    </w:p>
    <w:p w14:paraId="431FCA2D">
      <w:pPr>
        <w:spacing w:after="0" w:line="240" w:lineRule="auto"/>
        <w:ind w:hanging="2"/>
        <w:jc w:val="both"/>
        <w:rPr>
          <w:b/>
        </w:rPr>
      </w:pPr>
    </w:p>
    <w:p w14:paraId="37D2AFF3">
      <w:pPr>
        <w:spacing w:after="0" w:line="240" w:lineRule="auto"/>
        <w:ind w:hanging="2"/>
        <w:jc w:val="both"/>
        <w:rPr>
          <w:b/>
        </w:rPr>
        <w:sectPr>
          <w:type w:val="continuous"/>
          <w:pgSz w:w="11900" w:h="16840"/>
          <w:pgMar w:top="1418" w:right="1418" w:bottom="1418" w:left="1417" w:header="706" w:footer="706" w:gutter="0"/>
          <w:pgNumType w:fmt="decimal" w:start="1"/>
          <w:cols w:space="720" w:num="1"/>
        </w:sectPr>
      </w:pPr>
    </w:p>
    <w:p w14:paraId="7A166D32">
      <w:pPr>
        <w:spacing w:after="0" w:line="240" w:lineRule="auto"/>
        <w:ind w:hanging="2"/>
        <w:jc w:val="both"/>
      </w:pPr>
      <w:r>
        <w:rPr>
          <w:b/>
        </w:rPr>
        <w:t>Genome extraction</w:t>
      </w:r>
      <w:r>
        <w:t>. The marine bacterial culture CM03 was centrifuged at 6000 rpm and 4 °C for 10 minutes to collect the cell pellets. The cell pellets were resuspended in 500 μL of TE buffer and treated with 40 μL of lysozyme (60 mg/mL), followed by gentle mixing and incubation for 1 hour at 37 °C. Subsequently, 200 μL of 10% SDS, 100 μL of 5 M NaCl, and 80 μL of 2% CTAB were added</w:t>
      </w:r>
      <w:r>
        <w:rPr>
          <w:lang w:val="en-US"/>
        </w:rPr>
        <w:t>,</w:t>
      </w:r>
      <w:r>
        <w:t xml:space="preserve"> and the mixture was inverted every 10 minutes during incubation at 68 °C for 30 minutes. After cooling to room temperature, an equal volume of chloroform was added, </w:t>
      </w:r>
      <w:r>
        <w:rPr>
          <w:lang w:val="en-US"/>
        </w:rPr>
        <w:t xml:space="preserve">and </w:t>
      </w:r>
      <w:r>
        <w:t xml:space="preserve">then the solution was </w:t>
      </w:r>
      <w:r>
        <w:rPr>
          <w:lang w:val="en-US"/>
        </w:rPr>
        <w:t xml:space="preserve">centrifuged </w:t>
      </w:r>
      <w:r>
        <w:t>at 12,000 rpm for 15 minutes at 4 °C. The aqueous layer was collected, mixed with isopropanol</w:t>
      </w:r>
      <w:r>
        <w:rPr>
          <w:lang w:val="en-US"/>
        </w:rPr>
        <w:t>,</w:t>
      </w:r>
      <w:r>
        <w:t xml:space="preserve"> and</w:t>
      </w:r>
      <w:r>
        <w:rPr>
          <w:lang w:val="en-US"/>
        </w:rPr>
        <w:t xml:space="preserve"> incubated at -20 °C for 2 hours to precipitate the DNA. The DNA was recovered by centrifugation</w:t>
      </w:r>
      <w:r>
        <w:t xml:space="preserve"> at 12,000 rpm for 20 minutes at 4 °C,</w:t>
      </w:r>
      <w:r>
        <w:rPr>
          <w:lang w:val="en-US"/>
        </w:rPr>
        <w:t xml:space="preserve"> treated with 1 mL of 70% ethanol, then centrifuged again at 12,000 rpm for 10 minutes at 4 °C. </w:t>
      </w:r>
      <w:r>
        <w:t xml:space="preserve">The resulting DNA pellet was air-dried overnight, resuspended in 30 μL of nuclease-free water, treated with 3 μL of RNase, and stored at -20 °C until further analysis </w:t>
      </w:r>
      <w:r>
        <w:fldChar w:fldCharType="begin" w:fldLock="1"/>
      </w:r>
      <w:r>
        <w:instrText xml:space="preserve">ADDIN CSL_CITATION {"citationItems":[{"id":"ITEM-1","itemData":{"DOI":"10.1007/S11033-025-11104-Y","ISSN":"1573-4978","PMID":"41085814","abstract":"The discovery and characterization of novel microbial strains are critical for advancing our understanding of microbial diversity and their potential applications in biotechnology and medicine. In this study, we identified and characterized Micrococcus yunnanensis strain AZMABM 17 using 16&amp;nbsp;S rRNA sequencing and Average Nucleotide Identity (ANI) analysis. Whole-genome sequencing was performed to determine the genomic structure and functional potential of the strain. Functional annotation and predictive analysis of secondary metabolite biosynthesis gene clusters (BGCs) were also conducted. The bioactivity of the isolate was evaluated through antidiabetic, antioxidant, and anti-inflammatory assays by measuring inhibition using a spectrophotometer. Antiproliferative activity was assessed using MTT assays against the MCF-7 breast cancer cell line. The 16&amp;nbsp;S rRNA sequencing revealed a 98.28% identity with Micrococcus sp. 3455 and Micrococcus sp. GS57, while ANI analysis showed a 98.30% similarity with Micrococcus yunnanensis DSM 21,948, confirming AZMABM 17 as a novel strain. Whole-genome sequencing revealed a circular chromosome of 2,435,094 base pairs with a GC content of 73%, encoding 2,183 protein-coding genes, including 949 assigned to Gene Ontology (GO) and 1,367 to KEGG Orthology (KO). Functional annotation identified genes involved in amino acid transport, carbohydrate metabolism, and secondary metabolite biosynthesis, including terpenoids and carotenoids. The strain exhibited significant antioxidant, antidiabetic, anti-inflammatory, and antiproliferative activities, with higher metabolite concentrations correlating with increased bioactivities. Predictive analysis identified six putative secondary metabolite biosynthesis gene clusters (BGCs), including terpene and NI-siderophore clusters, suggesting the potential to produce novel bioactive compounds. These findings underscore the biotechnological potential of Micrococcus yunnanensis strain AZMABM 17, particularly in pharmaceutical and environmental applications.","author":[{"dropping-particle":"","family":"Irawan","given":"Herman","non-dropping-particle":"","parse-names":false,"suffix":""},{"dropping-particle":"","family":"Mustopa","given":"Apon Zaenal","non-dropping-particle":"","parse-names":false,"suffix":""},{"dropping-particle":"","family":"Suryadinata","given":"Ramadhika Pra","non-dropping-particle":"","parse-names":false,"suffix":""},{"dropping-particle":"","family":"Manguntungi","given":"Andi Baso","non-dropping-particle":"","parse-names":false,"suffix":""},{"dropping-particle":"","family":"Trinugroho","given":"Joko Pebrianto","non-dropping-particle":"","parse-names":false,"suffix":""},{"dropping-particle":"","family":"Feraliana","given":"","non-dropping-particle":"","parse-names":false,"suffix":""},{"dropping-particle":"","family":"Mustafawi","given":"Wike Zahra","non-dropping-particle":"","parse-names":false,"suffix":""},{"dropping-particle":"","family":"Agung","given":"Mochamad Untung Kurnia","non-dropping-particle":"","parse-names":false,"suffix":""},{"dropping-particle":"","family":"Putra","given":"Agus Budiawan Naro","non-dropping-particle":"","parse-names":false,"suffix":""},{"dropping-particle":"","family":"Palupi","given":"Kartika Dyah","non-dropping-particle":"","parse-names":false,"suffix":""}],"container-title":"Molecular Biology Reports 2025 52:1","id":"ITEM-1","issue":"1","issued":{"date-parts":[["2025","10","14"]]},"page":"1028-","publisher":"Springer","title":"Genome mining identifies Micrococcus yunnanensis strain AZMABM 17 as a potential source of Antioxidant, Anti-Inflammatory, Antidiabetic, and Antiproliferative compounds","type":"article-journal","volume":"52"},"uris":["http://www.mendeley.com/documents/?uuid=f8c5d4ef-1d91-364f-9bfa-3b8604178522"]}],"mendeley":{"formattedCitation":"(Irawan et al., 2025)","plainTextFormattedCitation":"(Irawan et al., 2025)","previouslyFormattedCitation":"(Irawan et al., 2025)"},"properties":{"noteIndex":0},"schema":"https://github.com/citation-style-language/schema/raw/master/csl-citation.json"}</w:instrText>
      </w:r>
      <w:r>
        <w:fldChar w:fldCharType="separate"/>
      </w:r>
      <w:r>
        <w:t xml:space="preserve">(Irawan </w:t>
      </w:r>
      <w:r>
        <w:rPr>
          <w:i/>
        </w:rPr>
        <w:t>et al</w:t>
      </w:r>
      <w:r>
        <w:t>., 2025)</w:t>
      </w:r>
      <w:r>
        <w:fldChar w:fldCharType="end"/>
      </w:r>
      <w:r>
        <w:t>.</w:t>
      </w:r>
    </w:p>
    <w:p w14:paraId="74045B6B">
      <w:pPr>
        <w:spacing w:after="0" w:line="240" w:lineRule="auto"/>
        <w:ind w:hanging="2"/>
        <w:jc w:val="both"/>
      </w:pPr>
    </w:p>
    <w:p w14:paraId="75A71DC9">
      <w:pPr>
        <w:spacing w:after="0" w:line="240" w:lineRule="auto"/>
        <w:ind w:hanging="2"/>
        <w:jc w:val="both"/>
      </w:pPr>
      <w:r>
        <w:rPr>
          <w:b/>
        </w:rPr>
        <w:t>Amplification of the 16S rRNA Gene Using PCR</w:t>
      </w:r>
      <w:r>
        <w:t xml:space="preserve">. </w:t>
      </w:r>
      <w:r>
        <w:rPr>
          <w:lang w:val="en-US"/>
        </w:rPr>
        <w:t xml:space="preserve">The PCR mix was prepared in a PCR tube with the following components: 15 μL of NFW, 2.5 μL of the forward primer PR3F (5’-ATT GGA GGG CAA GTC TGG TG-3’), 2.5 μL of the reverse primer PR3R (5’-CCG ATC CCT AGT CGG CAT AG-3’), 25 μL of MyTaq, and 5 μL of bacterial genomic DNA. All steps were conducted under chilled conditions to preserve DNA integrity. The thermal cycling protocol consisted of an initial denaturation cycle at 94 °C for 10 minutes, followed by 35 cycles consisting of denaturation at 94 °C for 30 seconds, annealing at 56 °C for 30 seconds, and extension at 72 °C for 1 minute. A final post-extension step was performed at 72 °C for 5 minutes </w:t>
      </w:r>
      <w:r>
        <w:rPr>
          <w:lang w:val="en-US"/>
        </w:rPr>
        <w:fldChar w:fldCharType="begin" w:fldLock="1"/>
      </w:r>
      <w:r>
        <w:rPr>
          <w:lang w:val="en-US"/>
        </w:rPr>
        <w:instrText xml:space="preserve">ADDIN CSL_CITATION {"citationItems":[{"id":"ITEM-1","itemData":{"DOI":"10.1016/J.HELIYON.2024.E27978","ISSN":"2405-8440","abstract":"Endophytic fungi are known for producing secondary metabolites with valuable biological activities, including antiviral, anticancer, antibacterial, and antioxidant properties. This study aims to evaluate an endophytic fungus from Dragon Scales leaves (Drymoglossum piloselloides) and analyze its metabolites as antioxidants and antibacterials. In this study, an endophytic fungus was isolated from the leaves of Dragon Scales (D. piloselloides) and identified using molecular analysis of the Internal Transcribed Spacer (ITS) ribosomal RNA locus. The fungus was authenticated as Alternaria alternata strain K-10. Crude extracts were obtained using n-hexane and ethyl acetate and analyzed via GC-MS Shimadzu-QP 2010 Ultra with NIST spectral library. Antibacterial activity was observed against Bacillus subtilis, Staphylococcus aureus, Escherichia coli, and Pseudomonas aeruginosa using the paper disc method, showing inhibition zones of 8.7–9.3 mm and 8.8–9.4 mm for ethyl acetate and n-hexane extracts, respectively. Ethyl acetate and n-hexane extracts exhibited strong antioxidant potential against 2,2-diphenyl-1-picrylhydrazil (DPPH) radical (IC50 values of 50.99 μg mL−1 and 74.44 μg mL−1, respectively). GC–MS analysis revealed 40 compounds in both extracts, some of which, including 2-ethylhexyl ester benzoic acid, benzo-b-dihydropyran-6-hydroxy-4-4-5-7-8-pentamethyl, diethyl phthalate, and octadecanoic acid, were identified through in silico analysis and found to possess antioxidant properties. These findings hold implications for potential applications of the plant and its biological constituent to be developed as lead compounds in the medical sector.","author":[{"dropping-particle":"","family":"Kusmiati","given":"Kusmiati","non-dropping-particle":"","parse-names":false,"suffix":""},{"dropping-particle":"","family":"Fanani","given":"Asrul","non-dropping-particle":"","parse-names":false,"suffix":""},{"dropping-particle":"","family":"Nurkanto","given":"Arif","non-dropping-particle":"","parse-names":false,"suffix":""},{"dropping-particle":"","family":"Purnaningsih","given":"Ismu","non-dropping-particle":"","parse-names":false,"suffix":""},{"dropping-particle":"","family":"Mamangkey","given":"Jendri","non-dropping-particle":"","parse-names":false,"suffix":""},{"dropping-particle":"","family":"Ramadhani","given":"Indriati","non-dropping-particle":"","parse-names":false,"suffix":""},{"dropping-particle":"","family":"Nurcahyanto","given":"Dian Alfian","non-dropping-particle":"","parse-names":false,"suffix":""},{"dropping-particle":"","family":"Simanjuntak","given":"Partomuan","non-dropping-particle":"","parse-names":false,"suffix":""},{"dropping-particle":"","family":"Afiati","given":"Fifi","non-dropping-particle":"","parse-names":false,"suffix":""},{"dropping-particle":"","family":"Irawan","given":"Herman","non-dropping-particle":"","parse-names":false,"suffix":""},{"dropping-particle":"","family":"Puteri","given":"Ade Lia","non-dropping-particle":"","parse-names":false,"suffix":""},{"dropping-particle":"","family":"Ewaldo","given":"Muhammad Farrel","non-dropping-particle":"","parse-names":false,"suffix":""},{"dropping-particle":"","family":"Juanssilfero","given":"Ario Betha","non-dropping-particle":"","parse-names":false,"suffix":""}],"container-title":"Heliyon","id":"ITEM-1","issue":"6","issued":{"date-parts":[["2024","3","30"]]},"page":"e27978","publisher":"Elsevier","title":"Profile and in silico analysis of metabolite compounds of the endophytic fungus Alternaria alternata K-10 from Drymoglossum piloselloides as antioxidants and antibacterials","type":"article-journal","volume":"10"},"uris":["http://www.mendeley.com/documents/?uuid=aa633cc4-ca57-31fe-9b81-bd6b99404d09"]}],"mendeley":{"formattedCitation":"(Kusmiati et al., 2024)","plainTextFormattedCitation":"(Kusmiati et al., 2024)","previouslyFormattedCitation":"(Kusmiati et al., 2024)"},"properties":{"noteIndex":0},"schema":"https://github.com/citation-style-language/schema/raw/master/csl-citation.json"}</w:instrText>
      </w:r>
      <w:r>
        <w:rPr>
          <w:lang w:val="en-US"/>
        </w:rPr>
        <w:fldChar w:fldCharType="separate"/>
      </w:r>
      <w:r>
        <w:rPr>
          <w:lang w:val="en-US"/>
        </w:rPr>
        <w:t xml:space="preserve">(Kusmiati </w:t>
      </w:r>
      <w:r>
        <w:rPr>
          <w:i/>
          <w:lang w:val="en-US"/>
        </w:rPr>
        <w:t>et al</w:t>
      </w:r>
      <w:r>
        <w:rPr>
          <w:lang w:val="en-US"/>
        </w:rPr>
        <w:t>., 2024)</w:t>
      </w:r>
      <w:r>
        <w:rPr>
          <w:lang w:val="en-US"/>
        </w:rPr>
        <w:fldChar w:fldCharType="end"/>
      </w:r>
      <w:r>
        <w:rPr>
          <w:lang w:val="en-US"/>
        </w:rPr>
        <w:t>. The PCR products were analyzed qualitatively through agarose gel electrophoresis.</w:t>
      </w:r>
      <w:r>
        <w:t xml:space="preserve"> </w:t>
      </w:r>
      <w:r>
        <w:rPr>
          <w:lang w:val="en-US"/>
        </w:rPr>
        <w:t xml:space="preserve">The consensus 16S rRNA sequence was generated using BioEdit software </w:t>
      </w:r>
      <w:r>
        <w:rPr>
          <w:lang w:val="en-US"/>
        </w:rPr>
        <w:fldChar w:fldCharType="begin" w:fldLock="1"/>
      </w:r>
      <w:r>
        <w:rPr>
          <w:lang w:val="en-US"/>
        </w:rPr>
        <w:instrText xml:space="preserve">ADDIN CSL_CITATION {"citationItems":[{"id":"ITEM-1","itemData":{"author":[{"dropping-particle":"","family":"Hall","given":"A.T.","non-dropping-particle":"","parse-names":false,"suffix":""}],"container-title":"Nucleic Acids Symposium Series","id":"ITEM-1","issued":{"date-parts":[["1999"]]},"page":"95-98","title":"BioEdit: a user-friendly biological sequence alignment editor and analysis program for Windows 95/98/NT","type":"article-journal","volume":"41"},"uris":["http://www.mendeley.com/documents/?uuid=86464517-dd5e-42d4-b9dd-aad664ea916e"]}],"mendeley":{"formattedCitation":"(Hall, 1999)","plainTextFormattedCitation":"(Hall, 1999)","previouslyFormattedCitation":"(Hall, 1999)"},"properties":{"noteIndex":0},"schema":"https://github.com/citation-style-language/schema/raw/master/csl-citation.json"}</w:instrText>
      </w:r>
      <w:r>
        <w:rPr>
          <w:lang w:val="en-US"/>
        </w:rPr>
        <w:fldChar w:fldCharType="separate"/>
      </w:r>
      <w:r>
        <w:rPr>
          <w:lang w:val="en-US"/>
        </w:rPr>
        <w:t>(Hall, 1999)</w:t>
      </w:r>
      <w:r>
        <w:rPr>
          <w:lang w:val="en-US"/>
        </w:rPr>
        <w:fldChar w:fldCharType="end"/>
      </w:r>
      <w:r>
        <w:rPr>
          <w:lang w:val="en-US"/>
        </w:rPr>
        <w:t>.</w:t>
      </w:r>
      <w:r>
        <w:t xml:space="preserve"> </w:t>
      </w:r>
      <w:r>
        <w:rPr>
          <w:lang w:val="en-US"/>
        </w:rPr>
        <w:t xml:space="preserve">The sequences were subjected to BLASTn analysis on the NCBI database to identify closest matches </w:t>
      </w:r>
      <w:r>
        <w:rPr>
          <w:lang w:val="en-US"/>
        </w:rPr>
        <w:fldChar w:fldCharType="begin" w:fldLock="1"/>
      </w:r>
      <w:r>
        <w:rPr>
          <w:lang w:val="en-US"/>
        </w:rPr>
        <w:instrText xml:space="preserve">ADDIN CSL_CITATION {"citationItems":[{"id":"ITEM-1","itemData":{"DOI":"10.1186/1471-2105-10-421","ISSN":"1471-2105","PMID":"20003500","abstract":"Sequence similarity searching is a very important bioinformatics task. While Basic Local Alignment Search Tool (BLAST) outperforms exact methods through its use of heuristics, the speed of the current BLAST software is suboptimal for very long queries or database sequences. There are also some shortcomings in the user-interface of the current command-line applications. We describe features and improvements of rewritten BLAST software and introduce new command-line applications. Long query sequences are broken into chunks for processing, in some cases leading to dramatically shorter run times. For long database sequences, it is possible to retrieve only the relevant parts of the sequence, reducing CPU time and memory usage for searches of short queries against databases of contigs or chromosomes. The program can now retrieve masking information for database sequences from the BLAST databases. A new modular software library can now access subject sequence data from arbitrary data sources. We introduce several new features, including strategy files that allow a user to save and reuse their favorite set of options. The strategy files can be uploaded to and downloaded from the NCBI BLAST web site. The new BLAST command-line applications, compared to the current BLAST tools, demonstrate substantial speed improvements for long queries as well as chromosome length database sequences. We have also improved the user interface of the command-line applications.","author":[{"dropping-particle":"","family":"Camacho","given":"Christiam","non-dropping-particle":"","parse-names":false,"suffix":""},{"dropping-particle":"","family":"Coulouris","given":"George","non-dropping-particle":"","parse-names":false,"suffix":""},{"dropping-particle":"","family":"Avagyan","given":"Vahram","non-dropping-particle":"","parse-names":false,"suffix":""},{"dropping-particle":"","family":"Ma","given":"Ning","non-dropping-particle":"","parse-names":false,"suffix":""},{"dropping-particle":"","family":"Papadopoulos","given":"Jason","non-dropping-particle":"","parse-names":false,"suffix":""},{"dropping-particle":"","family":"Bealer","given":"Kevin","non-dropping-particle":"","parse-names":false,"suffix":""},{"dropping-particle":"","family":"Madden","given":"Thomas L.","non-dropping-particle":"","parse-names":false,"suffix":""}],"container-title":"BMC Bioinformatics 2009 10:1","id":"ITEM-1","issue":"1","issued":{"date-parts":[["2009","12","15"]]},"page":"421-","publisher":"BioMed Central","title":"BLAST+: architecture and applications","type":"article-journal","volume":"10"},"uris":["http://www.mendeley.com/documents/?uuid=98c1d9c8-9707-3e3d-9ae1-0399b6b5909a"]}],"mendeley":{"formattedCitation":"(Camacho et al., 2009)","plainTextFormattedCitation":"(Camacho et al., 2009)","previouslyFormattedCitation":"(Camacho et al., 2009)"},"properties":{"noteIndex":0},"schema":"https://github.com/citation-style-language/schema/raw/master/csl-citation.json"}</w:instrText>
      </w:r>
      <w:r>
        <w:rPr>
          <w:lang w:val="en-US"/>
        </w:rPr>
        <w:fldChar w:fldCharType="separate"/>
      </w:r>
      <w:r>
        <w:rPr>
          <w:lang w:val="en-US"/>
        </w:rPr>
        <w:t xml:space="preserve">(Camacho </w:t>
      </w:r>
      <w:r>
        <w:rPr>
          <w:i/>
          <w:lang w:val="en-US"/>
        </w:rPr>
        <w:t>et al</w:t>
      </w:r>
      <w:r>
        <w:rPr>
          <w:lang w:val="en-US"/>
        </w:rPr>
        <w:t>., 2009)</w:t>
      </w:r>
      <w:r>
        <w:rPr>
          <w:lang w:val="en-US"/>
        </w:rPr>
        <w:fldChar w:fldCharType="end"/>
      </w:r>
      <w:r>
        <w:rPr>
          <w:lang w:val="en-US"/>
        </w:rPr>
        <w:t>.</w:t>
      </w:r>
      <w:r>
        <w:t xml:space="preserve"> </w:t>
      </w:r>
      <w:r>
        <w:rPr>
          <w:lang w:val="en-US"/>
        </w:rPr>
        <w:t xml:space="preserve">A phylogenetic relationship was constructed using Neighbor-Joining (NJ) </w:t>
      </w:r>
      <w:r>
        <w:rPr>
          <w:lang w:val="en-US"/>
        </w:rPr>
        <w:fldChar w:fldCharType="begin" w:fldLock="1"/>
      </w:r>
      <w:r>
        <w:rPr>
          <w:lang w:val="en-US"/>
        </w:rPr>
        <w:instrText xml:space="preserve">ADDIN CSL_CITATION {"citationItems":[{"id":"ITEM-1","itemData":{"DOI":"10.15294/BIOSAINTIFIKA.V15I3.46051","ISSN":"23387610","abstract":"Baccaurea is a group of fruit-producing plants found in wild forests. Many of these plant species have not yet explored their potential. The high rate of deforestation in West Sumatra poses a threat of extinction to the genetic resources of the genus Baccaurea before being explored and identified. The research aims to analyze the sequence characters and phylogenetic of Baccaurea found in West Sumatra using the MatK molecular marker. Phylogenetic analysis using the Maximum Likelihood (ML) method in MEGA X application. The results of the analysis of the six species of Baccaurea found that the sequence length ranged from 854-1019bp, the percentage of G+C base composition is 33.4%, the percentage of A+T base composition is 66.6%, the genetic distance range is 0-4% with a conservative character of 484bp and informative characters of 4bp. While the phylogenetic analysis using the ML method grouping the six species of Baccaurea to form a monophyletic clade with a bootstrap value of 100%, all species collected were in the same clade. These results reveal the first time that the MatK sequences from six species Baccaurea native to West Sumatra will be included in NCBI for use by other studies in conducting broader phylogenetic research.","author":[{"dropping-particle":"","family":"Saswita","given":"Helvi Maudy","non-dropping-particle":"","parse-names":false,"suffix":""},{"dropping-particle":"","family":"Syamsuardi","given":"Syamsuardi","non-dropping-particle":"","parse-names":false,"suffix":""},{"dropping-particle":"","family":"Nurainas","given":"Nurainas","non-dropping-particle":"","parse-names":false,"suffix":""},{"dropping-particle":"","family":"Suwardi","given":"Adi Bejo","non-dropping-particle":"","parse-names":false,"suffix":""},{"dropping-particle":"","family":"Taufiq","given":"Ahmad","non-dropping-particle":"","parse-names":false,"suffix":""}],"container-title":"Biosaintifika: Journal of Biology &amp; Biology Education","id":"ITEM-1","issue":"3","issued":{"date-parts":[["2023","12","1"]]},"page":"362-369","publisher":"Universitas Negeri Semarang","title":"Phylogenetic Analysis of Baccaurea Spp. in West Sumatra Using MatK Molecular Markers","type":"article-journal","volume":"15"},"uris":["http://www.mendeley.com/documents/?uuid=46f9eb36-b1e6-36fd-a796-e6833074b855"]}],"mendeley":{"formattedCitation":"(Saswita et al., 2023)","plainTextFormattedCitation":"(Saswita et al., 2023)","previouslyFormattedCitation":"(Saswita et al., 2023)"},"properties":{"noteIndex":0},"schema":"https://github.com/citation-style-language/schema/raw/master/csl-citation.json"}</w:instrText>
      </w:r>
      <w:r>
        <w:rPr>
          <w:lang w:val="en-US"/>
        </w:rPr>
        <w:fldChar w:fldCharType="separate"/>
      </w:r>
      <w:r>
        <w:rPr>
          <w:lang w:val="en-US"/>
        </w:rPr>
        <w:t xml:space="preserve">(Saswita </w:t>
      </w:r>
      <w:r>
        <w:rPr>
          <w:i/>
          <w:lang w:val="en-US"/>
        </w:rPr>
        <w:t>et al</w:t>
      </w:r>
      <w:r>
        <w:rPr>
          <w:lang w:val="en-US"/>
        </w:rPr>
        <w:t>., 2023)</w:t>
      </w:r>
      <w:r>
        <w:rPr>
          <w:lang w:val="en-US"/>
        </w:rPr>
        <w:fldChar w:fldCharType="end"/>
      </w:r>
      <w:r>
        <w:rPr>
          <w:lang w:val="en-US"/>
        </w:rPr>
        <w:t>.</w:t>
      </w:r>
    </w:p>
    <w:p w14:paraId="58BAE415">
      <w:pPr>
        <w:spacing w:after="0" w:line="240" w:lineRule="auto"/>
        <w:ind w:firstLine="0"/>
        <w:jc w:val="both"/>
        <w:rPr>
          <w:sz w:val="20"/>
          <w:szCs w:val="20"/>
        </w:rPr>
      </w:pPr>
    </w:p>
    <w:p w14:paraId="0EB81C74">
      <w:pPr>
        <w:spacing w:after="0" w:line="240" w:lineRule="auto"/>
        <w:ind w:hanging="2"/>
        <w:jc w:val="both"/>
      </w:pPr>
      <w:r>
        <w:rPr>
          <w:b/>
        </w:rPr>
        <w:t>Data analysis</w:t>
      </w:r>
      <w:r>
        <w:t>. Statistical analysis was performed using Microsoft Excel and SPSS software. One-way Analysis of Variance (ANOVA) followed by Duncan’s post hoc test was used to asses</w:t>
      </w:r>
      <w:r>
        <w:rPr>
          <w:lang w:val="en-US"/>
        </w:rPr>
        <w:t>s</w:t>
      </w:r>
      <w:r>
        <w:t xml:space="preserve"> significan</w:t>
      </w:r>
      <w:r>
        <w:rPr>
          <w:lang w:val="en-US"/>
        </w:rPr>
        <w:t>t</w:t>
      </w:r>
      <w:r>
        <w:t xml:space="preserve"> differences at a significant threshold of p &lt; 0.05. </w:t>
      </w:r>
      <w:r>
        <w:rPr>
          <w:lang w:val="en-US"/>
        </w:rPr>
        <w:t>Graphical</w:t>
      </w:r>
      <w:r>
        <w:t xml:space="preserve"> representations of the mean values and standard deviations were prepared using GraphPad software.</w:t>
      </w:r>
    </w:p>
    <w:p w14:paraId="2FBE61BB">
      <w:pPr>
        <w:spacing w:after="0" w:line="240" w:lineRule="auto"/>
        <w:ind w:hanging="2"/>
        <w:jc w:val="both"/>
        <w:rPr>
          <w:sz w:val="20"/>
          <w:szCs w:val="20"/>
        </w:rPr>
      </w:pPr>
    </w:p>
    <w:p w14:paraId="5C30830B">
      <w:pPr>
        <w:spacing w:after="0" w:line="240" w:lineRule="auto"/>
        <w:ind w:hanging="2"/>
        <w:jc w:val="both"/>
        <w:rPr>
          <w:sz w:val="20"/>
          <w:szCs w:val="20"/>
        </w:rPr>
      </w:pPr>
    </w:p>
    <w:p w14:paraId="3A8B5A62">
      <w:pPr>
        <w:spacing w:after="0" w:line="240" w:lineRule="auto"/>
        <w:ind w:hanging="2"/>
        <w:rPr>
          <w:b/>
          <w:color w:val="000000"/>
          <w:sz w:val="24"/>
          <w:szCs w:val="24"/>
        </w:rPr>
      </w:pPr>
      <w:r>
        <w:rPr>
          <w:b/>
          <w:color w:val="000000"/>
          <w:sz w:val="24"/>
          <w:szCs w:val="24"/>
        </w:rPr>
        <w:t>Results and Discussion</w:t>
      </w:r>
    </w:p>
    <w:p w14:paraId="21923290">
      <w:pPr>
        <w:spacing w:after="0" w:line="240" w:lineRule="auto"/>
        <w:ind w:hanging="2"/>
        <w:rPr>
          <w:color w:val="000000"/>
          <w:sz w:val="20"/>
          <w:szCs w:val="20"/>
        </w:rPr>
      </w:pPr>
    </w:p>
    <w:p w14:paraId="061D83E7">
      <w:pPr>
        <w:spacing w:after="0" w:line="240" w:lineRule="auto"/>
        <w:ind w:hanging="2"/>
        <w:jc w:val="both"/>
        <w:rPr>
          <w:b/>
          <w:color w:val="000000"/>
        </w:rPr>
      </w:pPr>
      <w:r>
        <w:rPr>
          <w:b/>
          <w:color w:val="000000"/>
        </w:rPr>
        <w:t>Optimization of Marine Bacterial Growth Media</w:t>
      </w:r>
    </w:p>
    <w:p w14:paraId="5C78C5EE">
      <w:pPr>
        <w:spacing w:after="0" w:line="240" w:lineRule="auto"/>
        <w:ind w:firstLine="220"/>
        <w:jc w:val="both"/>
        <w:rPr>
          <w:color w:val="000000"/>
        </w:rPr>
      </w:pPr>
      <w:r>
        <w:rPr>
          <w:color w:val="000000"/>
        </w:rPr>
        <w:t xml:space="preserve">The optimization of growth media for symbiotic marine bacterial isolates </w:t>
      </w:r>
      <w:r>
        <w:t xml:space="preserve">CM01 and </w:t>
      </w:r>
      <w:r>
        <w:rPr>
          <w:lang w:val="en-US"/>
        </w:rPr>
        <w:t>CM03</w:t>
      </w:r>
      <w:r>
        <w:rPr>
          <w:color w:val="000000"/>
        </w:rPr>
        <w:t xml:space="preserve"> was performed by varying key parameters, including the type of growth medium, incubation temperature, NaCl concentration, peptone supplementation, and incubation duration. The optimal growth conditions for </w:t>
      </w:r>
      <w:r>
        <w:t>CM01</w:t>
      </w:r>
      <w:r>
        <w:rPr>
          <w:color w:val="000000"/>
        </w:rPr>
        <w:t xml:space="preserve"> w</w:t>
      </w:r>
      <w:r>
        <w:rPr>
          <w:color w:val="000000"/>
          <w:lang w:val="en-US"/>
        </w:rPr>
        <w:t>ere</w:t>
      </w:r>
      <w:r>
        <w:rPr>
          <w:color w:val="000000"/>
        </w:rPr>
        <w:t xml:space="preserve"> achieved in TSB medium supplemented with 2% NaCl and 2% peptone, incubated at 37 °C for 48 hours. Meanwhile, </w:t>
      </w:r>
      <w:r>
        <w:rPr>
          <w:lang w:val="en-US"/>
        </w:rPr>
        <w:t>CM03</w:t>
      </w:r>
      <w:r>
        <w:rPr>
          <w:color w:val="000000"/>
        </w:rPr>
        <w:t xml:space="preserve"> showed maximal growth in Zobell medium supplemented with 2% peptone at 28 °C with 48</w:t>
      </w:r>
      <w:r>
        <w:rPr>
          <w:color w:val="000000"/>
          <w:lang w:val="en-US"/>
        </w:rPr>
        <w:t>-</w:t>
      </w:r>
      <w:r>
        <w:rPr>
          <w:color w:val="000000"/>
        </w:rPr>
        <w:t>hour incubation period. These optimized conditions will serve as the basis for subsequent experimental assays. The growth dynamics under different tested variable conditions are illustrated in Figure 1.</w:t>
      </w:r>
    </w:p>
    <w:p w14:paraId="0DC2FB21">
      <w:pPr>
        <w:spacing w:after="0" w:line="240" w:lineRule="auto"/>
        <w:ind w:firstLine="220"/>
        <w:jc w:val="both"/>
        <w:rPr>
          <w:color w:val="000000"/>
        </w:rPr>
      </w:pPr>
      <w:r>
        <w:rPr>
          <w:color w:val="000000"/>
          <w:lang w:val="en-US"/>
        </w:rPr>
        <w:t xml:space="preserve">Optimizing media is critical for maximizing bacterial proliferation. Several important factors influencing the optimal growth of marine bacteria include temperature, pH, salinity, and nutrient availability. Optimal growth generally occurs at 30–40 °C and pH 6.5–8.5, with species-specific salinity requirements. Halophilic marine bacteria require high salinity to survive, while halotolerant species tolerate broader ranges </w:t>
      </w:r>
      <w:r>
        <w:rPr>
          <w:color w:val="000000"/>
          <w:lang w:val="en-US"/>
        </w:rPr>
        <w:fldChar w:fldCharType="begin" w:fldLock="1"/>
      </w:r>
      <w:r>
        <w:rPr>
          <w:color w:val="000000"/>
          <w:lang w:val="en-US"/>
        </w:rPr>
        <w:instrText xml:space="preserve">ADDIN CSL_CITATION {"citationItems":[{"id":"ITEM-1","itemData":{"DOI":"10.3390/BIOS11020048","ISSN":"2079-6374","PMID":"33673343","abstract":"Halophilic bacteria are remarkable organisms that have evolved strategies to survive in high saline concentrations. These bacteria offer many advances for microbial-based biotechnologies and are commonly used for industrial processes such as compatible solute synthesis, biofuel production, and other microbial processes that occur in high saline environments. Using halophilic bacteria in electrochemical systems offers enhanced stability and applications in extreme environments where common electroactive microorganisms would not survive. Incorporating halophilic bacteria into microbial fuel cells has become of particular interest for renewable energy generation and self-powered biosensing since many wastewaters can contain fluctuating and high saline concentrations. In this perspective, we highlight the evolutionary mechanisms of halophilic microorganisms, review their application in microbial electrochemical sensing, and offer future perspectives and directions in using halophilic electroactive microorganisms for high saline biosensing.","author":[{"dropping-particle":"","family":"Gaffney","given":"Erin M.","non-dropping-particle":"","parse-names":false,"suffix":""},{"dropping-particle":"","family":"Simoska","given":"Olja","non-dropping-particle":"","parse-names":false,"suffix":""},{"dropping-particle":"","family":"Minteer","given":"Shelley D.","non-dropping-particle":"","parse-names":false,"suffix":""}],"container-title":"Biosensors 2021, Vol. 11, Page 48","id":"ITEM-1","issue":"2","issued":{"date-parts":[["2021","2","12"]]},"page":"48","publisher":"Multidisciplinary Digital Publishing Institute","title":"The Use of Electroactive Halophilic Bacteria for Improvements and Advancements in Environmental High Saline Biosensing","type":"article-journal","volume":"11"},"uris":["http://www.mendeley.com/documents/?uuid=b1902f37-2df2-3de9-9971-9ebb6f91ab3d"]}],"mendeley":{"formattedCitation":"(Gaffney et al., 2021)","plainTextFormattedCitation":"(Gaffney et al., 2021)","previouslyFormattedCitation":"(Gaffney et al., 2021)"},"properties":{"noteIndex":0},"schema":"https://github.com/citation-style-language/schema/raw/master/csl-citation.json"}</w:instrText>
      </w:r>
      <w:r>
        <w:rPr>
          <w:color w:val="000000"/>
          <w:lang w:val="en-US"/>
        </w:rPr>
        <w:fldChar w:fldCharType="separate"/>
      </w:r>
      <w:r>
        <w:rPr>
          <w:color w:val="000000"/>
          <w:lang w:val="en-US"/>
        </w:rPr>
        <w:t>(Gaffney et al., 2021)</w:t>
      </w:r>
      <w:r>
        <w:rPr>
          <w:color w:val="000000"/>
          <w:lang w:val="en-US"/>
        </w:rPr>
        <w:fldChar w:fldCharType="end"/>
      </w:r>
      <w:r>
        <w:rPr>
          <w:color w:val="000000"/>
          <w:lang w:val="en-US"/>
        </w:rPr>
        <w:t xml:space="preserve">. Essential nutrients such as carbon, nitrogen, and phosphorus are necessary to sustain growth </w:t>
      </w:r>
      <w:r>
        <w:rPr>
          <w:color w:val="000000"/>
          <w:lang w:val="en-US"/>
        </w:rPr>
        <w:fldChar w:fldCharType="begin" w:fldLock="1"/>
      </w:r>
      <w:r>
        <w:rPr>
          <w:color w:val="000000"/>
          <w:lang w:val="en-US"/>
        </w:rPr>
        <w:instrText xml:space="preserve">ADDIN CSL_CITATION {"citationItems":[{"id":"ITEM-1","itemData":{"DOI":"10.1016/J.WATRES.2022.118573","ISSN":"1879-2448","PMID":"35643062","abstract":"Carbon, nitrogen, and phosphorus are critical macroelements in freshwater systems. Historically, researchers and managers have focused on inorganic forms, based on the premise that the organic pool was not available for direct uptake by phytoplankton. We now know that phytoplankton can tap the organic nutrient pool through a number of mechanisms including direct uptake, enzymatic hydrolysis, mixotrophy, and through symbiotic relationships with microbial communities. In this review, we explore these mechanisms considering current and projected future anthropogenically-driven changes to freshwater systems. In particular, we focus on how naturally- and anthropogenically- derived organic nutrients can influence phytoplankton community structure. We also synthesize knowledge gaps regarding phytoplankton physiology and the potential challenges of nutrient management in an organically dynamic and anthropogenically modified world. Our review provides a basis for exploring these topics and suggests several avenues for future work on the relation between organic nutrients and eutrophication and their ecological implications in freshwater systems.","author":[{"dropping-particle":"","family":"Reinl","given":"Kaitlin L.","non-dropping-particle":"","parse-names":false,"suffix":""},{"dropping-particle":"","family":"Harris","given":"Ted D.","non-dropping-particle":"","parse-names":false,"suffix":""},{"dropping-particle":"","family":"Elfferich","given":"Inge","non-dropping-particle":"","parse-names":false,"suffix":""},{"dropping-particle":"","family":"Coker","given":"Ayooluwateso","non-dropping-particle":"","parse-names":false,"suffix":""},{"dropping-particle":"","family":"Zhan","given":"Qing","non-dropping-particle":"","parse-names":false,"suffix":""},{"dropping-particle":"","family":"Senerpont Domis","given":"Lisette N.","non-dropping-particle":"De","parse-names":false,"suffix":""},{"dropping-particle":"","family":"Morales-Williams","given":"Ana M.","non-dropping-particle":"","parse-names":false,"suffix":""},{"dropping-particle":"","family":"Bhattacharya","given":"Ruchi","non-dropping-particle":"","parse-names":false,"suffix":""},{"dropping-particle":"","family":"Grossart","given":"Hans Peter","non-dropping-particle":"","parse-names":false,"suffix":""},{"dropping-particle":"","family":"North","given":"Rebecca L.","non-dropping-particle":"","parse-names":false,"suffix":""},{"dropping-particle":"","family":"Sweetman","given":"Jon N.","non-dropping-particle":"","parse-names":false,"suffix":""}],"container-title":"Water research","id":"ITEM-1","issued":{"date-parts":[["2022","7","1"]]},"publisher":"Water Res","title":"The role of organic nutrients in structuring freshwater phytoplankton communities in a rapidly changing world","type":"article-journal","volume":"219"},"uris":["http://www.mendeley.com/documents/?uuid=2f82bfb5-655e-3d40-b065-07a47ca910c5"]}],"mendeley":{"formattedCitation":"(Reinl et al., 2022)","plainTextFormattedCitation":"(Reinl et al., 2022)","previouslyFormattedCitation":"(Reinl et al., 2022)"},"properties":{"noteIndex":0},"schema":"https://github.com/citation-style-language/schema/raw/master/csl-citation.json"}</w:instrText>
      </w:r>
      <w:r>
        <w:rPr>
          <w:color w:val="000000"/>
          <w:lang w:val="en-US"/>
        </w:rPr>
        <w:fldChar w:fldCharType="separate"/>
      </w:r>
      <w:r>
        <w:rPr>
          <w:color w:val="000000"/>
          <w:lang w:val="en-US"/>
        </w:rPr>
        <w:t>(Reinl et al., 2022)</w:t>
      </w:r>
      <w:r>
        <w:rPr>
          <w:color w:val="000000"/>
          <w:lang w:val="en-US"/>
        </w:rPr>
        <w:fldChar w:fldCharType="end"/>
      </w:r>
      <w:r>
        <w:rPr>
          <w:color w:val="000000"/>
          <w:lang w:val="en-US"/>
        </w:rPr>
        <w:t>.</w:t>
      </w:r>
    </w:p>
    <w:p w14:paraId="0A90FA4C">
      <w:pPr>
        <w:spacing w:after="0" w:line="240" w:lineRule="auto"/>
        <w:ind w:firstLine="220"/>
        <w:jc w:val="both"/>
        <w:rPr>
          <w:color w:val="000000"/>
        </w:rPr>
        <w:sectPr>
          <w:type w:val="continuous"/>
          <w:pgSz w:w="11900" w:h="16840"/>
          <w:pgMar w:top="1418" w:right="1418" w:bottom="1418" w:left="1417" w:header="706" w:footer="706" w:gutter="0"/>
          <w:pgNumType w:fmt="decimal"/>
          <w:cols w:equalWidth="0" w:num="2">
            <w:col w:w="4320" w:space="425"/>
            <w:col w:w="4320"/>
          </w:cols>
        </w:sectPr>
      </w:pPr>
    </w:p>
    <w:p w14:paraId="2FD74769">
      <w:pPr>
        <w:spacing w:after="0" w:line="240" w:lineRule="auto"/>
        <w:ind w:firstLine="220"/>
        <w:jc w:val="both"/>
        <w:rPr>
          <w:color w:val="000000"/>
        </w:rPr>
      </w:pPr>
    </w:p>
    <w:tbl>
      <w:tblPr>
        <w:tblStyle w:val="2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85"/>
        <w:gridCol w:w="4386"/>
      </w:tblGrid>
      <w:tr w14:paraId="2E2EA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85" w:type="dxa"/>
            <w:vAlign w:val="bottom"/>
          </w:tcPr>
          <w:p w14:paraId="6D036878">
            <w:pPr>
              <w:suppressAutoHyphens/>
              <w:spacing w:after="0" w:line="240" w:lineRule="auto"/>
              <w:ind w:left="0" w:leftChars="-1" w:hanging="2" w:hangingChars="1"/>
              <w:jc w:val="center"/>
              <w:textAlignment w:val="top"/>
              <w:outlineLvl w:val="0"/>
              <w:rPr>
                <w:color w:val="000000"/>
                <w:position w:val="-1"/>
                <w:sz w:val="20"/>
                <w:szCs w:val="20"/>
                <w:lang w:val="en-US" w:eastAsia="id-ID"/>
              </w:rPr>
            </w:pPr>
            <w:r>
              <w:rPr>
                <w:color w:val="000000"/>
                <w:position w:val="-1"/>
                <w:sz w:val="20"/>
                <w:szCs w:val="20"/>
                <w:lang w:val="en-US" w:eastAsia="id-ID"/>
              </w:rPr>
              <w:drawing>
                <wp:inline distT="0" distB="0" distL="0" distR="0">
                  <wp:extent cx="2520315" cy="1888490"/>
                  <wp:effectExtent l="0" t="0" r="698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20315" cy="1888490"/>
                          </a:xfrm>
                          <a:prstGeom prst="rect">
                            <a:avLst/>
                          </a:prstGeom>
                          <a:ln>
                            <a:noFill/>
                          </a:ln>
                        </pic:spPr>
                      </pic:pic>
                    </a:graphicData>
                  </a:graphic>
                </wp:inline>
              </w:drawing>
            </w:r>
            <w:r>
              <w:rPr>
                <w:color w:val="000000"/>
                <w:position w:val="-1"/>
                <w:sz w:val="20"/>
                <w:szCs w:val="20"/>
                <w:lang w:val="en-US" w:eastAsia="id-ID"/>
              </w:rPr>
              <w:t>a</w:t>
            </w:r>
          </w:p>
        </w:tc>
        <w:tc>
          <w:tcPr>
            <w:tcW w:w="4386" w:type="dxa"/>
            <w:vAlign w:val="bottom"/>
          </w:tcPr>
          <w:p w14:paraId="4043FDDA">
            <w:pPr>
              <w:suppressAutoHyphens/>
              <w:spacing w:after="0" w:line="240" w:lineRule="auto"/>
              <w:ind w:left="0" w:leftChars="-1" w:hanging="2" w:hangingChars="1"/>
              <w:jc w:val="center"/>
              <w:textAlignment w:val="top"/>
              <w:outlineLvl w:val="0"/>
              <w:rPr>
                <w:color w:val="000000"/>
                <w:position w:val="-1"/>
                <w:sz w:val="20"/>
                <w:szCs w:val="20"/>
                <w:lang w:val="en-US" w:eastAsia="id-ID"/>
              </w:rPr>
            </w:pPr>
            <w:r>
              <w:rPr>
                <w:color w:val="000000"/>
                <w:position w:val="-1"/>
                <w:sz w:val="20"/>
                <w:szCs w:val="20"/>
                <w:lang w:val="en-US" w:eastAsia="id-ID"/>
              </w:rPr>
              <w:drawing>
                <wp:inline distT="0" distB="0" distL="0" distR="0">
                  <wp:extent cx="2520315" cy="1876425"/>
                  <wp:effectExtent l="0" t="0" r="698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20315" cy="1876425"/>
                          </a:xfrm>
                          <a:prstGeom prst="rect">
                            <a:avLst/>
                          </a:prstGeom>
                          <a:ln>
                            <a:noFill/>
                          </a:ln>
                        </pic:spPr>
                      </pic:pic>
                    </a:graphicData>
                  </a:graphic>
                </wp:inline>
              </w:drawing>
            </w:r>
            <w:r>
              <w:rPr>
                <w:color w:val="000000"/>
                <w:position w:val="-1"/>
                <w:sz w:val="20"/>
                <w:szCs w:val="20"/>
                <w:lang w:val="en-US" w:eastAsia="id-ID"/>
              </w:rPr>
              <w:t>d</w:t>
            </w:r>
          </w:p>
        </w:tc>
      </w:tr>
      <w:tr w14:paraId="0B4AD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85" w:type="dxa"/>
            <w:vAlign w:val="bottom"/>
          </w:tcPr>
          <w:p w14:paraId="1F97E8DF">
            <w:pPr>
              <w:suppressAutoHyphens/>
              <w:spacing w:after="0" w:line="240" w:lineRule="auto"/>
              <w:ind w:left="0" w:leftChars="-1" w:hanging="2" w:hangingChars="1"/>
              <w:jc w:val="center"/>
              <w:textAlignment w:val="top"/>
              <w:outlineLvl w:val="0"/>
              <w:rPr>
                <w:color w:val="000000"/>
                <w:position w:val="-1"/>
                <w:sz w:val="20"/>
                <w:szCs w:val="20"/>
                <w:lang w:val="en-US" w:eastAsia="id-ID"/>
              </w:rPr>
            </w:pPr>
            <w:r>
              <w:rPr>
                <w:color w:val="000000"/>
                <w:position w:val="-1"/>
                <w:sz w:val="20"/>
                <w:szCs w:val="20"/>
                <w:lang w:val="en-US" w:eastAsia="id-ID"/>
              </w:rPr>
              <w:drawing>
                <wp:inline distT="0" distB="0" distL="0" distR="0">
                  <wp:extent cx="2520315" cy="1887855"/>
                  <wp:effectExtent l="0" t="0" r="6985"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20315" cy="1887855"/>
                          </a:xfrm>
                          <a:prstGeom prst="rect">
                            <a:avLst/>
                          </a:prstGeom>
                          <a:ln>
                            <a:noFill/>
                          </a:ln>
                        </pic:spPr>
                      </pic:pic>
                    </a:graphicData>
                  </a:graphic>
                </wp:inline>
              </w:drawing>
            </w:r>
            <w:r>
              <w:rPr>
                <w:color w:val="000000"/>
                <w:position w:val="-1"/>
                <w:sz w:val="20"/>
                <w:szCs w:val="20"/>
                <w:lang w:val="en-US" w:eastAsia="id-ID"/>
              </w:rPr>
              <w:t>b</w:t>
            </w:r>
          </w:p>
        </w:tc>
        <w:tc>
          <w:tcPr>
            <w:tcW w:w="4386" w:type="dxa"/>
            <w:vAlign w:val="bottom"/>
          </w:tcPr>
          <w:p w14:paraId="03A8D65C">
            <w:pPr>
              <w:suppressAutoHyphens/>
              <w:spacing w:after="0" w:line="240" w:lineRule="auto"/>
              <w:ind w:left="0" w:leftChars="-1" w:hanging="2" w:hangingChars="1"/>
              <w:jc w:val="center"/>
              <w:textAlignment w:val="top"/>
              <w:outlineLvl w:val="0"/>
              <w:rPr>
                <w:color w:val="000000"/>
                <w:position w:val="-1"/>
                <w:sz w:val="20"/>
                <w:szCs w:val="20"/>
                <w:lang w:val="en-US" w:eastAsia="id-ID"/>
              </w:rPr>
            </w:pPr>
            <w:r>
              <w:rPr>
                <w:color w:val="000000"/>
                <w:position w:val="-1"/>
                <w:sz w:val="20"/>
                <w:szCs w:val="20"/>
                <w:lang w:val="en-US" w:eastAsia="id-ID"/>
              </w:rPr>
              <w:drawing>
                <wp:inline distT="0" distB="0" distL="0" distR="0">
                  <wp:extent cx="2520315" cy="1857375"/>
                  <wp:effectExtent l="0" t="0" r="698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20315" cy="1857375"/>
                          </a:xfrm>
                          <a:prstGeom prst="rect">
                            <a:avLst/>
                          </a:prstGeom>
                          <a:ln>
                            <a:noFill/>
                          </a:ln>
                        </pic:spPr>
                      </pic:pic>
                    </a:graphicData>
                  </a:graphic>
                </wp:inline>
              </w:drawing>
            </w:r>
            <w:r>
              <w:rPr>
                <w:color w:val="000000"/>
                <w:position w:val="-1"/>
                <w:sz w:val="20"/>
                <w:szCs w:val="20"/>
                <w:lang w:val="en-US" w:eastAsia="id-ID"/>
              </w:rPr>
              <w:t>e</w:t>
            </w:r>
          </w:p>
        </w:tc>
      </w:tr>
      <w:tr w14:paraId="4940D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85" w:type="dxa"/>
            <w:vAlign w:val="bottom"/>
          </w:tcPr>
          <w:p w14:paraId="67C2E8C9">
            <w:pPr>
              <w:suppressAutoHyphens/>
              <w:spacing w:after="0" w:line="240" w:lineRule="auto"/>
              <w:ind w:left="0" w:leftChars="-1" w:hanging="2" w:hangingChars="1"/>
              <w:jc w:val="center"/>
              <w:textAlignment w:val="top"/>
              <w:outlineLvl w:val="0"/>
              <w:rPr>
                <w:color w:val="000000"/>
                <w:position w:val="-1"/>
                <w:sz w:val="20"/>
                <w:szCs w:val="20"/>
                <w:lang w:val="en-US" w:eastAsia="id-ID"/>
              </w:rPr>
            </w:pPr>
            <w:r>
              <w:rPr>
                <w:color w:val="000000"/>
                <w:position w:val="-1"/>
                <w:sz w:val="20"/>
                <w:szCs w:val="20"/>
                <w:lang w:val="en-US" w:eastAsia="id-ID"/>
              </w:rPr>
              <w:drawing>
                <wp:inline distT="0" distB="0" distL="0" distR="0">
                  <wp:extent cx="2520315" cy="1887855"/>
                  <wp:effectExtent l="0" t="0" r="6985"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20315" cy="1887855"/>
                          </a:xfrm>
                          <a:prstGeom prst="rect">
                            <a:avLst/>
                          </a:prstGeom>
                          <a:ln>
                            <a:noFill/>
                          </a:ln>
                        </pic:spPr>
                      </pic:pic>
                    </a:graphicData>
                  </a:graphic>
                </wp:inline>
              </w:drawing>
            </w:r>
            <w:r>
              <w:rPr>
                <w:color w:val="000000"/>
                <w:position w:val="-1"/>
                <w:sz w:val="20"/>
                <w:szCs w:val="20"/>
                <w:lang w:val="en-US" w:eastAsia="id-ID"/>
              </w:rPr>
              <w:t>c</w:t>
            </w:r>
          </w:p>
        </w:tc>
        <w:tc>
          <w:tcPr>
            <w:tcW w:w="4386" w:type="dxa"/>
            <w:vAlign w:val="bottom"/>
          </w:tcPr>
          <w:p w14:paraId="3090A96F">
            <w:pPr>
              <w:suppressAutoHyphens/>
              <w:spacing w:after="0" w:line="240" w:lineRule="auto"/>
              <w:ind w:left="0" w:leftChars="-1" w:hanging="2" w:hangingChars="1"/>
              <w:jc w:val="center"/>
              <w:textAlignment w:val="top"/>
              <w:outlineLvl w:val="0"/>
              <w:rPr>
                <w:color w:val="000000"/>
                <w:position w:val="-1"/>
                <w:sz w:val="20"/>
                <w:szCs w:val="20"/>
                <w:lang w:val="en-US" w:eastAsia="id-ID"/>
              </w:rPr>
            </w:pPr>
            <w:r>
              <w:rPr>
                <w:color w:val="000000"/>
                <w:position w:val="-1"/>
                <w:sz w:val="20"/>
                <w:szCs w:val="20"/>
                <w:lang w:val="en-US" w:eastAsia="id-ID"/>
              </w:rPr>
              <w:drawing>
                <wp:inline distT="0" distB="0" distL="0" distR="0">
                  <wp:extent cx="2520315" cy="1853565"/>
                  <wp:effectExtent l="0" t="0" r="6985"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20315" cy="1853565"/>
                          </a:xfrm>
                          <a:prstGeom prst="rect">
                            <a:avLst/>
                          </a:prstGeom>
                          <a:ln>
                            <a:noFill/>
                          </a:ln>
                        </pic:spPr>
                      </pic:pic>
                    </a:graphicData>
                  </a:graphic>
                </wp:inline>
              </w:drawing>
            </w:r>
            <w:r>
              <w:rPr>
                <w:color w:val="000000"/>
                <w:position w:val="-1"/>
                <w:sz w:val="20"/>
                <w:szCs w:val="20"/>
                <w:lang w:val="en-US" w:eastAsia="id-ID"/>
              </w:rPr>
              <w:t>f</w:t>
            </w:r>
          </w:p>
        </w:tc>
      </w:tr>
    </w:tbl>
    <w:p w14:paraId="4B4052B4">
      <w:pPr>
        <w:spacing w:after="0" w:line="240" w:lineRule="auto"/>
        <w:ind w:hanging="2"/>
        <w:jc w:val="both"/>
        <w:rPr>
          <w:color w:val="000000"/>
          <w:sz w:val="20"/>
          <w:szCs w:val="20"/>
        </w:rPr>
      </w:pPr>
      <w:r>
        <w:rPr>
          <w:b/>
          <w:color w:val="000000"/>
          <w:sz w:val="20"/>
          <w:szCs w:val="20"/>
        </w:rPr>
        <w:t xml:space="preserve">Figure 1. </w:t>
      </w:r>
      <w:r>
        <w:rPr>
          <w:color w:val="000000"/>
          <w:sz w:val="20"/>
          <w:szCs w:val="20"/>
        </w:rPr>
        <w:t xml:space="preserve">Growth curves of optimized growth media for marine bacteria (a, b, c) </w:t>
      </w:r>
      <w:r>
        <w:rPr>
          <w:sz w:val="20"/>
          <w:szCs w:val="20"/>
        </w:rPr>
        <w:t xml:space="preserve">CM01 </w:t>
      </w:r>
      <w:r>
        <w:rPr>
          <w:color w:val="000000"/>
          <w:sz w:val="20"/>
          <w:szCs w:val="20"/>
        </w:rPr>
        <w:t xml:space="preserve">and (d, e, f) </w:t>
      </w:r>
      <w:r>
        <w:rPr>
          <w:sz w:val="20"/>
          <w:szCs w:val="20"/>
          <w:lang w:val="en-US"/>
        </w:rPr>
        <w:t>CM03</w:t>
      </w:r>
      <w:r>
        <w:rPr>
          <w:color w:val="000000"/>
          <w:sz w:val="20"/>
          <w:szCs w:val="20"/>
        </w:rPr>
        <w:t>, with TSB medium, 2% peptone, and 2% or 8% NaCl; NB medium, 2% peptone, and 2% or 8% NaCl; and Zobell medium and 2% peptone.</w:t>
      </w:r>
    </w:p>
    <w:p w14:paraId="17700D50">
      <w:pPr>
        <w:spacing w:after="0" w:line="240" w:lineRule="auto"/>
        <w:ind w:firstLine="220" w:firstLineChars="100"/>
        <w:jc w:val="both"/>
        <w:rPr>
          <w:color w:val="000000"/>
          <w:lang w:val="en-US"/>
        </w:rPr>
      </w:pPr>
    </w:p>
    <w:p w14:paraId="10BBD837">
      <w:pPr>
        <w:spacing w:after="0" w:line="240" w:lineRule="auto"/>
        <w:ind w:firstLine="220" w:firstLineChars="100"/>
        <w:jc w:val="both"/>
        <w:rPr>
          <w:color w:val="000000"/>
          <w:lang w:val="en-US"/>
        </w:rPr>
        <w:sectPr>
          <w:type w:val="continuous"/>
          <w:pgSz w:w="11900" w:h="16840"/>
          <w:pgMar w:top="1418" w:right="1418" w:bottom="1418" w:left="1417" w:header="706" w:footer="706" w:gutter="0"/>
          <w:pgNumType w:fmt="decimal" w:start="1"/>
          <w:cols w:space="720" w:num="1"/>
        </w:sectPr>
      </w:pPr>
    </w:p>
    <w:p w14:paraId="74F591FA">
      <w:pPr>
        <w:spacing w:after="0" w:line="240" w:lineRule="auto"/>
        <w:ind w:firstLine="220" w:firstLineChars="100"/>
        <w:jc w:val="both"/>
        <w:rPr>
          <w:color w:val="000000"/>
          <w:lang w:val="en-US"/>
        </w:rPr>
      </w:pPr>
      <w:r>
        <w:rPr>
          <w:color w:val="000000"/>
          <w:lang w:val="en-US"/>
        </w:rPr>
        <w:t xml:space="preserve">In this study, optimizing growth conditions for marine bacteria is adjusted to the conditions of seawater as their primary habitat. Three mediums were used: NB served as general media, TSB provided richer nutrients, while Zobell medium mimicked marine conditions and required no additional NaCl </w:t>
      </w:r>
      <w:r>
        <w:rPr>
          <w:color w:val="000000"/>
          <w:lang w:val="en-US"/>
        </w:rPr>
        <w:fldChar w:fldCharType="begin" w:fldLock="1"/>
      </w:r>
      <w:r>
        <w:rPr>
          <w:color w:val="000000"/>
          <w:lang w:val="en-US"/>
        </w:rPr>
        <w:instrText xml:space="preserve">ADDIN CSL_CITATION {"citationItems":[{"id":"ITEM-1","itemData":{"DOI":"10.4014/JMB.1906.06024","ISSN":"1738-8872","PMID":"31434364","abstract":"The Burkholderia cepacia complex (BCC) is capable of remaining viable in low-nutrient environments and harsh conditions, posing a contamination risk in non-sterile pharmaceutical products as well as a challenge for detection. To develop optimal recovery methods to detect BCC, three oligotrophic media were evaluated and compared with nutrient media for the recovery of BCC from autoclaved distilled water or antiseptic solutions. Serial dilutions (10-1 to 10-12CFU/ml) of 20 BCC strains were inoculated into autoclaved distilled water and stored at 6ºC, 23ºC and 42ºC for 42 days. Six suspensions of Burkholderia cenocepacia were used to inoculate aqueous solutions containing 5 μg/ml and 50 μg/ml chlorhexidine gluconate (CHX) and 10 μg/ml benzalkonium chloride (BZK), and stored at 23ºC for a further 199 days. Nutrient media such as Tryptic Soy Agar (TSA) or Tryptic Soy Broth (TSB), oligotrophic media (1/10 strength TSA or TSB, Reasoner’s 2nd Agar [R2A] or Reasoner’s 2ndBroth [R2AB], and 1/3 strength R2A or R2AB) were compared by inoculating these media with BCC from autoclaved distilled water and from antiseptic samples. The recovery of BCC in water or antiseptics was higher in culture broth than on solid media. Oligotrophic medium showed a higher recovery efficiency than TSA or TSB for the detection of 20 BCC samples. Results from multiple comparisons allowed us to directly identify significant differences between TSA or TSB and oligotrophic media. An oligotrophic medium pre-enrichment resuscitation step is offered for the United States Pharmacopeia (USP) proposed compendial test method for BCC detection.","author":[{"dropping-particle":"","family":"Ahn","given":"Youngbeom","non-dropping-particle":"","parse-names":false,"suffix":""},{"dropping-particle":"","family":"Lee","given":"Un Jung","non-dropping-particle":"","parse-names":false,"suffix":""},{"dropping-particle":"","family":"Lee","given":"Yong Jin","non-dropping-particle":"","parse-names":false,"suffix":""},{"dropping-particle":"","family":"LiPuma","given":"John J.","non-dropping-particle":"","parse-names":false,"suffix":""},{"dropping-particle":"","family":"Hussong","given":"David","non-dropping-particle":"","parse-names":false,"suffix":""},{"dropping-particle":"","family":"Marasa","given":"Bernard","non-dropping-particle":"","parse-names":false,"suffix":""},{"dropping-particle":"","family":"Cerniglia","given":"Carl E.","non-dropping-particle":"","parse-names":false,"suffix":""}],"container-title":"Journal of microbiology and biotechnology","id":"ITEM-1","issue":"10","issued":{"date-parts":[["2019"]]},"page":"1495-1505","publisher":"J Microbiol Biotechnol","title":"Oligotrophic Media Compared with a Tryptic Soy Agar or Broth for the Recovery of Burkholderia cepacia Complex from Different Storage Temperatures and Culture Conditions","type":"article-journal","volume":"29"},"uris":["http://www.mendeley.com/documents/?uuid=aca445fb-8067-3e81-b158-938cea559052"]}],"mendeley":{"formattedCitation":"(Ahn et al., 2019)","manualFormatting":"(","plainTextFormattedCitation":"(Ahn et al., 2019)","previouslyFormattedCitation":"(Ahn et al., 2019)"},"properties":{"noteIndex":0},"schema":"https://github.com/citation-style-language/schema/raw/master/csl-citation.json"}</w:instrText>
      </w:r>
      <w:r>
        <w:rPr>
          <w:color w:val="000000"/>
          <w:lang w:val="en-US"/>
        </w:rPr>
        <w:fldChar w:fldCharType="separate"/>
      </w:r>
      <w:r>
        <w:rPr>
          <w:color w:val="000000"/>
          <w:lang w:val="en-US"/>
        </w:rPr>
        <w:t>(</w:t>
      </w:r>
      <w:r>
        <w:rPr>
          <w:color w:val="000000"/>
          <w:lang w:val="en-US"/>
        </w:rPr>
        <w:fldChar w:fldCharType="end"/>
      </w:r>
      <w:r>
        <w:rPr>
          <w:color w:val="000000"/>
          <w:lang w:val="en-US"/>
        </w:rPr>
        <w:fldChar w:fldCharType="begin" w:fldLock="1"/>
      </w:r>
      <w:r>
        <w:rPr>
          <w:color w:val="000000"/>
          <w:lang w:val="en-US"/>
        </w:rPr>
        <w:instrText xml:space="preserve">ADDIN CSL_CITATION {"citationItems":[{"id":"ITEM-1","itemData":{"DOI":"10.7759/CUREUS.67246","ISSN":"2168-8184","PMID":"39310646","abstract":"Background","author":[{"dropping-particle":"","family":"Saleem","given":"Aayisha Aathila","non-dropping-particle":"","parse-names":false,"suffix":""},{"dropping-particle":"","family":"Balakrishnan","given":"Gayathri","non-dropping-particle":"","parse-names":false,"suffix":""},{"dropping-particle":"","family":"Nandhagopal","given":"Manivannan","non-dropping-particle":"","parse-names":false,"suffix":""}],"container-title":"Cureus","id":"ITEM-1","issue":"8","issued":{"date-parts":[["2024","8","20"]]},"publisher":"Cureus","title":"Secondary Metabolites of Halobacillus sp.: Antimicrobial and Antioxidant Activity, Biological Compatibility, and Gas Chromatography-Mass Spectrometry (GC-MS) Analysis","type":"article-journal","volume":"16"},"uris":["http://www.mendeley.com/documents/?uuid=5696a13d-ef85-3c78-9345-3b0b621cd6e7"]}],"mendeley":{"formattedCitation":"(Saleem et al., 2024)","plainTextFormattedCitation":"(Saleem et al., 2024)","previouslyFormattedCitation":"(Saleem et al., 2024)"},"properties":{"noteIndex":0},"schema":"https://github.com/citation-style-language/schema/raw/master/csl-citation.json"}</w:instrText>
      </w:r>
      <w:r>
        <w:rPr>
          <w:color w:val="000000"/>
          <w:lang w:val="en-US"/>
        </w:rPr>
        <w:fldChar w:fldCharType="separate"/>
      </w:r>
      <w:r>
        <w:rPr>
          <w:color w:val="000000"/>
          <w:lang w:val="en-US"/>
        </w:rPr>
        <w:t xml:space="preserve">Saleem </w:t>
      </w:r>
      <w:r>
        <w:rPr>
          <w:i/>
          <w:color w:val="000000"/>
          <w:lang w:val="en-US"/>
        </w:rPr>
        <w:t>et al</w:t>
      </w:r>
      <w:r>
        <w:rPr>
          <w:color w:val="000000"/>
          <w:lang w:val="en-US"/>
        </w:rPr>
        <w:t>., 2024)</w:t>
      </w:r>
      <w:r>
        <w:rPr>
          <w:color w:val="000000"/>
          <w:lang w:val="en-US"/>
        </w:rPr>
        <w:fldChar w:fldCharType="end"/>
      </w:r>
      <w:r>
        <w:rPr>
          <w:color w:val="000000"/>
          <w:lang w:val="en-US"/>
        </w:rPr>
        <w:t xml:space="preserve">. In this optimization, the addition of peptone inducer enhanced the nitrogen availability </w:t>
      </w:r>
      <w:r>
        <w:rPr>
          <w:color w:val="000000"/>
          <w:lang w:val="en-US"/>
        </w:rPr>
        <w:fldChar w:fldCharType="begin" w:fldLock="1"/>
      </w:r>
      <w:r>
        <w:rPr>
          <w:color w:val="000000"/>
          <w:lang w:val="en-US"/>
        </w:rPr>
        <w:instrText xml:space="preserve">ADDIN CSL_CITATION {"citationItems":[{"id":"ITEM-1","itemData":{"DOI":"10.1016/J.NMNI.2019.100622","ISSN":"2052-2975","PMID":"31956419","abstract":"Microbiology has been largely developed thanks to the discovery and optimization of culture media. The first liquid artificial culture medium was created by Louis Pasteur in 1860. Previously, bacterial growth on daily materials such as some foods had been observed. These observations highlighted the importance of the bacteria's natural environment and their nutritional needs in the development of culture media for their isolation. A culture medium is essentially composed of basic elements (water, nutrients), to which must be added different growth factors that will be specific to each bacterium and necessary for their growth. The evolution of bacterial culture through the media used for their culture began with the development of the first solid culture medium by Koch, allowing not only the production of bacterial colonies, but also the possibility of purifying a bacterial clone. The main gelling agent used in solid culture media is agar. However, some limits have been observed in the use of agar because of some extremely oxygen-sensitive bacteria that do not grow on agar media, and other alternatives were proposed and tested. Then, the discovery of antimicrobial agents and their specific targets prompted the emergence of selective media. These inhibiting agents make it possible to eliminate undesirable bacteria from the microbiota and select the bacteria desired. Thanks to a better knowledge of the bacterial environment, it will be possible to develop new culture media and new culture conditions, better adapted to certain fastidious bacteria that are difficult to isolate.","author":[{"dropping-particle":"","family":"Bonnet","given":"M.","non-dropping-particle":"","parse-names":false,"suffix":""},{"dropping-particle":"","family":"Lagier","given":"J. C.","non-dropping-particle":"","parse-names":false,"suffix":""},{"dropping-particle":"","family":"Raoult","given":"D.","non-dropping-particle":"","parse-names":false,"suffix":""},{"dropping-particle":"","family":"Khelaifia","given":"S.","non-dropping-particle":"","parse-names":false,"suffix":""}],"container-title":"New Microbes and New Infections","id":"ITEM-1","issued":{"date-parts":[["2020","3","1"]]},"page":"100622","publisher":"Elsevier","title":"Bacterial culture through selective and non-selective conditions: the evolution of culture media in clinical microbiology","type":"article-journal","volume":"34"},"uris":["http://www.mendeley.com/documents/?uuid=d69b5187-96e7-3900-8c39-6124b6822834"]}],"mendeley":{"formattedCitation":"(Bonnet et al., 2020)","plainTextFormattedCitation":"(Bonnet et al., 2020)","previouslyFormattedCitation":"(Bonnet et al., 2020)"},"properties":{"noteIndex":0},"schema":"https://github.com/citation-style-language/schema/raw/master/csl-citation.json"}</w:instrText>
      </w:r>
      <w:r>
        <w:rPr>
          <w:color w:val="000000"/>
          <w:lang w:val="en-US"/>
        </w:rPr>
        <w:fldChar w:fldCharType="separate"/>
      </w:r>
      <w:r>
        <w:rPr>
          <w:color w:val="000000"/>
          <w:lang w:val="en-US"/>
        </w:rPr>
        <w:t xml:space="preserve">(Bonnet </w:t>
      </w:r>
      <w:r>
        <w:rPr>
          <w:i/>
          <w:color w:val="000000"/>
          <w:lang w:val="en-US"/>
        </w:rPr>
        <w:t>et al</w:t>
      </w:r>
      <w:r>
        <w:rPr>
          <w:color w:val="000000"/>
          <w:lang w:val="en-US"/>
        </w:rPr>
        <w:t>., 2020)</w:t>
      </w:r>
      <w:r>
        <w:rPr>
          <w:color w:val="000000"/>
          <w:lang w:val="en-US"/>
        </w:rPr>
        <w:fldChar w:fldCharType="end"/>
      </w:r>
      <w:r>
        <w:rPr>
          <w:color w:val="000000"/>
          <w:lang w:val="en-US"/>
        </w:rPr>
        <w:t xml:space="preserve">. Temperature variations were conducted to adjust to the temperature conditions for marine bacterial species, which generally grow at 28, 30, and 37 °C </w:t>
      </w:r>
      <w:r>
        <w:rPr>
          <w:color w:val="000000"/>
          <w:lang w:val="en-US"/>
        </w:rPr>
        <w:fldChar w:fldCharType="begin" w:fldLock="1"/>
      </w:r>
      <w:r>
        <w:rPr>
          <w:color w:val="000000"/>
          <w:lang w:val="en-US"/>
        </w:rPr>
        <w:instrText xml:space="preserve">ADDIN CSL_CITATION {"citationItems":[{"id":"ITEM-1","itemData":{"DOI":"10.3390/MOLECULES29030695","ISSN":"1420-3049","PMID":"38338439","abstract":"The literature presents the preserving effect of biological coatings developed from various microbial sources. However, the presented work exhibits its uniqueness in the utilization of halophilic exopolysaccharides as food coating material. Moreover, such extremophilic exopolysaccharides are more stable and economical production is possible. Consequently, the aim of the presented research was to develop a coating material from marine exopolysaccharide (EPS). The significant EPS producers having antagonistic attributes against selected phytopathogens were screened from different marine water and soil samples. TSIS01 isolate revealed the maximum antagonism well and EPS production was selected further and characterized as Bacillus tequilensis MS01 by 16S rRNA analysis. EPS production was optimized and deproteinized EPS was assessed for biophysical properties. High performance thin layer chromatography (HPTLC) analysis revealed that EPS was a heteropolymer of glucose, galactose, mannose, and glucuronic acid. Fourier transform infrared spectroscopy, X-ray diffraction, and UV-visible spectra validated the presence of determined sugars. It showed high stability at a wide range of temperatures, pH and incubation time, ≈1.63 × 106 Da molecular weight, intermediate solubility index (48.2 ± 3.12%), low water holding capacity (12.4 ± 1.93%), and pseudoplastic rheologic shear-thinning comparable to xanthan gum. It revealed antimicrobial potential against human pathogens and antioxidants as well as anti-inflammatory potential. The biocontrol assay of EPS against phytopathogens revealed the highest activity against Alternaria solani. The EPS-coated and control tomato fruits were treated with A. solani suspension to check the % disease incidence, which revealed a significant (p &lt; 0.001) decline compared to uncoated controls. Moreover, it revealed shelf-life prolonging action on tomatoes comparable to xanthan gum and higher than chitosan. Consequently, the presented marine EPS was elucidated as a potent coating material to mitigate post-harvest losses.","author":[{"dropping-particle":"","family":"Upadhyaya","given":"Chandni","non-dropping-particle":"","parse-names":false,"suffix":""},{"dropping-particle":"","family":"Patel","given":"Hiren","non-dropping-particle":"","parse-names":false,"suffix":""},{"dropping-particle":"","family":"Patel","given":"Ishita","non-dropping-particle":"","parse-names":false,"suffix":""},{"dropping-particle":"","family":"Ahir","given":"Parth","non-dropping-particle":"","parse-names":false,"suffix":""},{"dropping-particle":"","family":"Upadhyaya","given":"Trushit","non-dropping-particle":"","parse-names":false,"suffix":""}],"container-title":"Molecules 2024, Vol. 29, Page 695","id":"ITEM-1","issue":"3","issued":{"date-parts":[["2024","2","2"]]},"page":"695","publisher":"Multidisciplinary Digital Publishing Institute","title":"Development of Biological Coating from Novel Halophilic Exopolysaccharide Exerting Shelf-Life-Prolonging and Biocontrol Actions for Post-Harvest Applications","type":"article-journal","volume":"29"},"uris":["http://www.mendeley.com/documents/?uuid=3f49183f-a508-3249-8580-839fed5b94c7"]}],"mendeley":{"formattedCitation":"(Upadhyaya et al., 2024)","plainTextFormattedCitation":"(Upadhyaya et al., 2024)","previouslyFormattedCitation":"(Upadhyaya et al., 2024)"},"properties":{"noteIndex":0},"schema":"https://github.com/citation-style-language/schema/raw/master/csl-citation.json"}</w:instrText>
      </w:r>
      <w:r>
        <w:rPr>
          <w:color w:val="000000"/>
          <w:lang w:val="en-US"/>
        </w:rPr>
        <w:fldChar w:fldCharType="separate"/>
      </w:r>
      <w:r>
        <w:rPr>
          <w:color w:val="000000"/>
          <w:lang w:val="en-US"/>
        </w:rPr>
        <w:t xml:space="preserve">(Upadhyaya </w:t>
      </w:r>
      <w:r>
        <w:rPr>
          <w:i/>
          <w:color w:val="000000"/>
          <w:lang w:val="en-US"/>
        </w:rPr>
        <w:t>et al</w:t>
      </w:r>
      <w:r>
        <w:rPr>
          <w:color w:val="000000"/>
          <w:lang w:val="en-US"/>
        </w:rPr>
        <w:t>., 2024)</w:t>
      </w:r>
      <w:r>
        <w:rPr>
          <w:color w:val="000000"/>
          <w:lang w:val="en-US"/>
        </w:rPr>
        <w:fldChar w:fldCharType="end"/>
      </w:r>
      <w:r>
        <w:rPr>
          <w:color w:val="000000"/>
          <w:lang w:val="en-US"/>
        </w:rPr>
        <w:t xml:space="preserve">. Incubation was carried out up to 96 hours to achieve optimal growth. Based on the optimization results shown in Figure 1, both </w:t>
      </w:r>
      <w:r>
        <w:rPr>
          <w:color w:val="000000"/>
        </w:rPr>
        <w:t>CM01</w:t>
      </w:r>
      <w:r>
        <w:rPr>
          <w:color w:val="000000"/>
          <w:lang w:val="en-US"/>
        </w:rPr>
        <w:t xml:space="preserve"> and CM03 grew optimally in TSB medium with 2% NaCl and Zobell medium, respectively, suggesting a preference for moderate salinity (moderate halophilic microorganism). </w:t>
      </w:r>
    </w:p>
    <w:p w14:paraId="31BA3714">
      <w:pPr>
        <w:spacing w:after="0" w:line="240" w:lineRule="auto"/>
        <w:ind w:hanging="2"/>
        <w:jc w:val="both"/>
        <w:rPr>
          <w:sz w:val="20"/>
          <w:szCs w:val="20"/>
          <w:lang w:val="en-US"/>
        </w:rPr>
      </w:pPr>
    </w:p>
    <w:p w14:paraId="4DD3B61C">
      <w:pPr>
        <w:spacing w:after="0" w:line="240" w:lineRule="auto"/>
        <w:ind w:hanging="2"/>
        <w:jc w:val="both"/>
        <w:rPr>
          <w:b/>
        </w:rPr>
      </w:pPr>
      <w:r>
        <w:rPr>
          <w:b/>
        </w:rPr>
        <w:t>Antibiofilm Activity</w:t>
      </w:r>
    </w:p>
    <w:p w14:paraId="4941E011">
      <w:pPr>
        <w:spacing w:after="0" w:line="240" w:lineRule="auto"/>
        <w:ind w:firstLine="220" w:firstLineChars="100"/>
        <w:jc w:val="both"/>
      </w:pPr>
      <w:r>
        <w:t xml:space="preserve">The antibiofilm potential of secondary metabolites derived from marine bacteria was evaluated against five pathogenic strains, namely </w:t>
      </w:r>
      <w:bookmarkStart w:id="3" w:name="_Hlk215576222"/>
      <w:r>
        <w:rPr>
          <w:i/>
        </w:rPr>
        <w:t>E. coli</w:t>
      </w:r>
      <w:r>
        <w:t xml:space="preserve">, </w:t>
      </w:r>
      <w:r>
        <w:rPr>
          <w:i/>
        </w:rPr>
        <w:t>P. aeruginosa</w:t>
      </w:r>
      <w:r>
        <w:t xml:space="preserve">, </w:t>
      </w:r>
      <w:r>
        <w:rPr>
          <w:i/>
        </w:rPr>
        <w:t>B. subtilis</w:t>
      </w:r>
      <w:r>
        <w:t xml:space="preserve">, </w:t>
      </w:r>
      <w:r>
        <w:rPr>
          <w:i/>
        </w:rPr>
        <w:t>S. aureus</w:t>
      </w:r>
      <w:bookmarkEnd w:id="3"/>
      <w:r>
        <w:t xml:space="preserve">, and </w:t>
      </w:r>
      <w:r>
        <w:rPr>
          <w:i/>
        </w:rPr>
        <w:t>S. epidermidis</w:t>
      </w:r>
      <w:r>
        <w:t xml:space="preserve">. Not all tested metabolites exhibited significant antibiofilm activity against these pathogens. The 50-hour metabolite of </w:t>
      </w:r>
      <w:r>
        <w:rPr>
          <w:color w:val="000000"/>
        </w:rPr>
        <w:t xml:space="preserve">CM01 </w:t>
      </w:r>
      <w:r>
        <w:t>(Figure 2) demonstrated the highest inhibitory effec</w:t>
      </w:r>
      <w:r>
        <w:rPr>
          <w:lang w:val="en-US"/>
        </w:rPr>
        <w:t>t</w:t>
      </w:r>
      <w:r>
        <w:t xml:space="preserve">s against </w:t>
      </w:r>
      <w:r>
        <w:rPr>
          <w:i/>
        </w:rPr>
        <w:t>E. coli</w:t>
      </w:r>
      <w:r>
        <w:t xml:space="preserve"> (84.626 ± 0.906b %), </w:t>
      </w:r>
      <w:r>
        <w:rPr>
          <w:i/>
        </w:rPr>
        <w:t>S. epidermidis</w:t>
      </w:r>
      <w:r>
        <w:t xml:space="preserve"> (70.187 ± 4.291b %), and </w:t>
      </w:r>
      <w:r>
        <w:rPr>
          <w:i/>
        </w:rPr>
        <w:t>S. aureus</w:t>
      </w:r>
      <w:r>
        <w:t xml:space="preserve"> (65.766 ± 37.816a %), at an optimal sampel-to-pathogen ratio of 2:1. However, this metabolite showed negligible inhibition against </w:t>
      </w:r>
      <w:r>
        <w:rPr>
          <w:i/>
        </w:rPr>
        <w:t>P. aeruginosa</w:t>
      </w:r>
      <w:r>
        <w:t xml:space="preserve"> and </w:t>
      </w:r>
      <w:r>
        <w:rPr>
          <w:i/>
        </w:rPr>
        <w:t xml:space="preserve">B. </w:t>
      </w:r>
      <w:r>
        <w:rPr>
          <w:i/>
          <w:lang w:val="en-US"/>
        </w:rPr>
        <w:t>s</w:t>
      </w:r>
      <w:r>
        <w:rPr>
          <w:i/>
        </w:rPr>
        <w:t>ubtilis</w:t>
      </w:r>
      <w:r>
        <w:rPr>
          <w:iCs/>
        </w:rPr>
        <w:t>,</w:t>
      </w:r>
      <w:r>
        <w:t xml:space="preserve"> with percentage activity below 0 (data not showed). In contrast, the 50-hour metabolite of</w:t>
      </w:r>
      <w:r>
        <w:rPr>
          <w:i/>
          <w:color w:val="000000"/>
        </w:rPr>
        <w:t xml:space="preserve"> </w:t>
      </w:r>
      <w:r>
        <w:rPr>
          <w:color w:val="000000"/>
        </w:rPr>
        <w:t>CM03</w:t>
      </w:r>
      <w:r>
        <w:t xml:space="preserve"> (Figure 3) effectively inhibited biofilm formation of </w:t>
      </w:r>
      <w:r>
        <w:rPr>
          <w:i/>
        </w:rPr>
        <w:t>E. coli</w:t>
      </w:r>
      <w:r>
        <w:t xml:space="preserve"> (90.181 ± 0.635a %) and </w:t>
      </w:r>
      <w:r>
        <w:rPr>
          <w:i/>
        </w:rPr>
        <w:t>P. aeruginosa</w:t>
      </w:r>
      <w:r>
        <w:t xml:space="preserve"> (77.508 ± 5.332ab %) at a 2:1 ratio, as well as </w:t>
      </w:r>
      <w:r>
        <w:rPr>
          <w:i/>
        </w:rPr>
        <w:t>B. subtilis</w:t>
      </w:r>
      <w:r>
        <w:t xml:space="preserve"> (59.743 ± 3.657a %) and </w:t>
      </w:r>
      <w:r>
        <w:rPr>
          <w:i/>
        </w:rPr>
        <w:t>S. aureus</w:t>
      </w:r>
      <w:r>
        <w:t xml:space="preserve"> (73.975 ± 7.721b %) at a 1:1 ratio. Biofilm inhibition of </w:t>
      </w:r>
      <w:r>
        <w:rPr>
          <w:i/>
        </w:rPr>
        <w:t>S. epidermidis</w:t>
      </w:r>
      <w:r>
        <w:t xml:space="preserve"> remained limited, with values below 50%. </w:t>
      </w:r>
    </w:p>
    <w:p w14:paraId="5AA844A6">
      <w:pPr>
        <w:spacing w:after="0" w:line="240" w:lineRule="auto"/>
        <w:ind w:hanging="2"/>
        <w:jc w:val="both"/>
        <w:sectPr>
          <w:type w:val="continuous"/>
          <w:pgSz w:w="11900" w:h="16840"/>
          <w:pgMar w:top="1418" w:right="1418" w:bottom="1418" w:left="1417" w:header="706" w:footer="706" w:gutter="0"/>
          <w:pgNumType w:fmt="decimal"/>
          <w:cols w:equalWidth="0" w:num="2">
            <w:col w:w="4320" w:space="425"/>
            <w:col w:w="4320"/>
          </w:cols>
        </w:sectPr>
      </w:pPr>
    </w:p>
    <w:p w14:paraId="3121C2A6">
      <w:pPr>
        <w:spacing w:after="0" w:line="240" w:lineRule="auto"/>
        <w:ind w:hanging="2"/>
        <w:jc w:val="both"/>
      </w:pPr>
    </w:p>
    <w:tbl>
      <w:tblPr>
        <w:tblStyle w:val="2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281"/>
      </w:tblGrid>
      <w:tr w14:paraId="28AB2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vAlign w:val="center"/>
          </w:tcPr>
          <w:p w14:paraId="7D08DED7">
            <w:pPr>
              <w:suppressAutoHyphens/>
              <w:spacing w:after="0" w:line="240" w:lineRule="auto"/>
              <w:ind w:left="0" w:leftChars="-1" w:hanging="2" w:hangingChars="1"/>
              <w:jc w:val="center"/>
              <w:textAlignment w:val="top"/>
              <w:outlineLvl w:val="0"/>
              <w:rPr>
                <w:position w:val="-1"/>
                <w:sz w:val="20"/>
                <w:szCs w:val="20"/>
                <w:lang w:val="en-US" w:eastAsia="id-ID"/>
              </w:rPr>
            </w:pPr>
            <w:r>
              <w:rPr>
                <w:position w:val="-1"/>
                <w:sz w:val="20"/>
                <w:szCs w:val="20"/>
                <w:lang w:val="en-US" w:eastAsia="id-ID"/>
              </w:rPr>
              <w:drawing>
                <wp:inline distT="0" distB="0" distL="0" distR="0">
                  <wp:extent cx="1656715" cy="1440180"/>
                  <wp:effectExtent l="0" t="0" r="635" b="7620"/>
                  <wp:docPr id="162217284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172845" name="Picture 20"/>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56715" cy="1440180"/>
                          </a:xfrm>
                          <a:prstGeom prst="rect">
                            <a:avLst/>
                          </a:prstGeom>
                          <a:noFill/>
                        </pic:spPr>
                      </pic:pic>
                    </a:graphicData>
                  </a:graphic>
                </wp:inline>
              </w:drawing>
            </w:r>
            <w:r>
              <w:rPr>
                <w:position w:val="-1"/>
                <w:sz w:val="20"/>
                <w:szCs w:val="20"/>
                <w:lang w:val="en-US" w:eastAsia="id-ID"/>
              </w:rPr>
              <w:t xml:space="preserve">a </w:t>
            </w:r>
            <w:r>
              <w:rPr>
                <w:position w:val="-1"/>
                <w:sz w:val="20"/>
                <w:szCs w:val="20"/>
                <w:lang w:val="en-US" w:eastAsia="id-ID"/>
              </w:rPr>
              <w:drawing>
                <wp:inline distT="0" distB="0" distL="0" distR="0">
                  <wp:extent cx="1632585" cy="1440180"/>
                  <wp:effectExtent l="0" t="0" r="5715" b="7620"/>
                  <wp:docPr id="1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22"/>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32585" cy="1440180"/>
                          </a:xfrm>
                          <a:prstGeom prst="rect">
                            <a:avLst/>
                          </a:prstGeom>
                          <a:noFill/>
                        </pic:spPr>
                      </pic:pic>
                    </a:graphicData>
                  </a:graphic>
                </wp:inline>
              </w:drawing>
            </w:r>
            <w:r>
              <w:rPr>
                <w:position w:val="-1"/>
                <w:sz w:val="20"/>
                <w:szCs w:val="20"/>
                <w:lang w:val="en-US" w:eastAsia="id-ID"/>
              </w:rPr>
              <w:t xml:space="preserve">b </w:t>
            </w:r>
            <w:r>
              <w:rPr>
                <w:position w:val="-1"/>
                <w:sz w:val="20"/>
                <w:szCs w:val="20"/>
                <w:lang w:val="en-US" w:eastAsia="id-ID"/>
              </w:rPr>
              <w:drawing>
                <wp:inline distT="0" distB="0" distL="0" distR="0">
                  <wp:extent cx="1671320" cy="1440180"/>
                  <wp:effectExtent l="0" t="0" r="5080" b="7620"/>
                  <wp:docPr id="1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21"/>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71320" cy="1440180"/>
                          </a:xfrm>
                          <a:prstGeom prst="rect">
                            <a:avLst/>
                          </a:prstGeom>
                          <a:noFill/>
                        </pic:spPr>
                      </pic:pic>
                    </a:graphicData>
                  </a:graphic>
                </wp:inline>
              </w:drawing>
            </w:r>
            <w:r>
              <w:rPr>
                <w:position w:val="-1"/>
                <w:sz w:val="20"/>
                <w:szCs w:val="20"/>
                <w:lang w:val="en-US" w:eastAsia="id-ID"/>
              </w:rPr>
              <w:t>c</w:t>
            </w:r>
          </w:p>
        </w:tc>
      </w:tr>
    </w:tbl>
    <w:p w14:paraId="1019BA40">
      <w:pPr>
        <w:spacing w:after="0" w:line="240" w:lineRule="auto"/>
        <w:ind w:hanging="2"/>
        <w:jc w:val="both"/>
        <w:rPr>
          <w:color w:val="000000"/>
          <w:sz w:val="20"/>
          <w:szCs w:val="20"/>
        </w:rPr>
      </w:pPr>
      <w:r>
        <w:rPr>
          <w:b/>
          <w:color w:val="000000"/>
          <w:sz w:val="20"/>
          <w:szCs w:val="20"/>
        </w:rPr>
        <w:t xml:space="preserve">Figure 2. </w:t>
      </w:r>
      <w:r>
        <w:rPr>
          <w:bCs/>
          <w:sz w:val="20"/>
          <w:szCs w:val="20"/>
        </w:rPr>
        <w:t xml:space="preserve">Effect of the 50-hour metabolites of CM01 against biofilm formation of (a) </w:t>
      </w:r>
      <w:r>
        <w:rPr>
          <w:bCs/>
          <w:i/>
          <w:iCs/>
          <w:sz w:val="20"/>
          <w:szCs w:val="20"/>
        </w:rPr>
        <w:t>E. coli</w:t>
      </w:r>
      <w:r>
        <w:rPr>
          <w:bCs/>
          <w:sz w:val="20"/>
          <w:szCs w:val="20"/>
        </w:rPr>
        <w:t xml:space="preserve">, (b) </w:t>
      </w:r>
      <w:r>
        <w:rPr>
          <w:bCs/>
          <w:i/>
          <w:iCs/>
          <w:sz w:val="20"/>
          <w:szCs w:val="20"/>
        </w:rPr>
        <w:t>S. epidermidis</w:t>
      </w:r>
      <w:r>
        <w:rPr>
          <w:bCs/>
          <w:sz w:val="20"/>
          <w:szCs w:val="20"/>
        </w:rPr>
        <w:t xml:space="preserve">, and (c) </w:t>
      </w:r>
      <w:r>
        <w:rPr>
          <w:bCs/>
          <w:i/>
          <w:iCs/>
          <w:sz w:val="20"/>
          <w:szCs w:val="20"/>
        </w:rPr>
        <w:t>S. aureus</w:t>
      </w:r>
      <w:r>
        <w:rPr>
          <w:bCs/>
          <w:sz w:val="20"/>
          <w:szCs w:val="20"/>
        </w:rPr>
        <w:t xml:space="preserve"> with different sampl</w:t>
      </w:r>
      <w:r>
        <w:rPr>
          <w:bCs/>
          <w:sz w:val="20"/>
          <w:szCs w:val="20"/>
          <w:lang w:val="en-US"/>
        </w:rPr>
        <w:t>e</w:t>
      </w:r>
      <w:r>
        <w:rPr>
          <w:bCs/>
          <w:sz w:val="20"/>
          <w:szCs w:val="20"/>
        </w:rPr>
        <w:t>-to-pathogen ratio</w:t>
      </w:r>
      <w:r>
        <w:rPr>
          <w:bCs/>
          <w:sz w:val="20"/>
          <w:szCs w:val="20"/>
          <w:lang w:val="en-US"/>
        </w:rPr>
        <w:t>s</w:t>
      </w:r>
      <w:r>
        <w:rPr>
          <w:bCs/>
          <w:sz w:val="20"/>
          <w:szCs w:val="20"/>
        </w:rPr>
        <w:t>. Each data point represents the results of three independent experiment</w:t>
      </w:r>
      <w:r>
        <w:rPr>
          <w:bCs/>
          <w:sz w:val="20"/>
          <w:szCs w:val="20"/>
          <w:lang w:val="en-US"/>
        </w:rPr>
        <w:t>s</w:t>
      </w:r>
      <w:r>
        <w:rPr>
          <w:bCs/>
          <w:sz w:val="20"/>
          <w:szCs w:val="20"/>
        </w:rPr>
        <w:t>, with each experiment conducted in at least triplicate. Error bars indicate the standard deviations of all the measurements. Statistical difference was determined by ANOVA followed by Duncan’s post hoc test at a significance level of p &lt; 0.05.</w:t>
      </w:r>
    </w:p>
    <w:p w14:paraId="0004810B">
      <w:pPr>
        <w:spacing w:after="0" w:line="240" w:lineRule="auto"/>
        <w:ind w:hanging="2"/>
        <w:jc w:val="both"/>
        <w:rPr>
          <w:color w:val="000000"/>
          <w:sz w:val="20"/>
          <w:szCs w:val="20"/>
        </w:rPr>
      </w:pPr>
    </w:p>
    <w:tbl>
      <w:tblPr>
        <w:tblStyle w:val="27"/>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274"/>
      </w:tblGrid>
      <w:tr w14:paraId="21FE3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vAlign w:val="center"/>
          </w:tcPr>
          <w:p w14:paraId="1FAD0916">
            <w:pPr>
              <w:suppressAutoHyphens/>
              <w:spacing w:after="0" w:line="240" w:lineRule="auto"/>
              <w:ind w:left="0" w:leftChars="-1" w:hanging="2" w:hangingChars="1"/>
              <w:jc w:val="center"/>
              <w:textAlignment w:val="top"/>
              <w:outlineLvl w:val="0"/>
              <w:rPr>
                <w:color w:val="000000"/>
                <w:position w:val="-1"/>
                <w:sz w:val="20"/>
                <w:szCs w:val="20"/>
                <w:lang w:eastAsia="id-ID"/>
              </w:rPr>
            </w:pPr>
            <w:r>
              <w:rPr>
                <w:color w:val="000000"/>
                <w:position w:val="-1"/>
                <w:sz w:val="20"/>
                <w:szCs w:val="20"/>
                <w:lang w:val="en-US" w:eastAsia="id-ID"/>
              </w:rPr>
              <w:drawing>
                <wp:inline distT="0" distB="0" distL="0" distR="0">
                  <wp:extent cx="1657350" cy="1440180"/>
                  <wp:effectExtent l="0" t="0" r="0" b="7620"/>
                  <wp:docPr id="204160061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600618" name="Picture 23"/>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57350" cy="1440180"/>
                          </a:xfrm>
                          <a:prstGeom prst="rect">
                            <a:avLst/>
                          </a:prstGeom>
                          <a:noFill/>
                        </pic:spPr>
                      </pic:pic>
                    </a:graphicData>
                  </a:graphic>
                </wp:inline>
              </w:drawing>
            </w:r>
            <w:r>
              <w:rPr>
                <w:color w:val="000000"/>
                <w:position w:val="-1"/>
                <w:sz w:val="20"/>
                <w:szCs w:val="20"/>
                <w:lang w:val="en-US" w:eastAsia="id-ID"/>
              </w:rPr>
              <w:t xml:space="preserve">a </w:t>
            </w:r>
            <w:r>
              <w:rPr>
                <w:color w:val="000000"/>
                <w:position w:val="-1"/>
                <w:sz w:val="20"/>
                <w:szCs w:val="20"/>
                <w:lang w:val="en-US" w:eastAsia="id-ID"/>
              </w:rPr>
              <w:drawing>
                <wp:inline distT="0" distB="0" distL="0" distR="0">
                  <wp:extent cx="1631315" cy="1440180"/>
                  <wp:effectExtent l="0" t="0" r="6985" b="7620"/>
                  <wp:docPr id="1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4"/>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31315" cy="1440180"/>
                          </a:xfrm>
                          <a:prstGeom prst="rect">
                            <a:avLst/>
                          </a:prstGeom>
                          <a:noFill/>
                        </pic:spPr>
                      </pic:pic>
                    </a:graphicData>
                  </a:graphic>
                </wp:inline>
              </w:drawing>
            </w:r>
            <w:r>
              <w:rPr>
                <w:color w:val="000000"/>
                <w:position w:val="-1"/>
                <w:sz w:val="20"/>
                <w:szCs w:val="20"/>
                <w:lang w:val="en-US" w:eastAsia="id-ID"/>
              </w:rPr>
              <w:t xml:space="preserve">b </w:t>
            </w:r>
            <w:r>
              <w:rPr>
                <w:color w:val="000000"/>
                <w:position w:val="-1"/>
                <w:sz w:val="20"/>
                <w:szCs w:val="20"/>
                <w:lang w:val="en-US" w:eastAsia="id-ID"/>
              </w:rPr>
              <w:drawing>
                <wp:inline distT="0" distB="0" distL="0" distR="0">
                  <wp:extent cx="1632585" cy="1440180"/>
                  <wp:effectExtent l="0" t="0" r="5715" b="7620"/>
                  <wp:docPr id="1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26"/>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32585" cy="1440180"/>
                          </a:xfrm>
                          <a:prstGeom prst="rect">
                            <a:avLst/>
                          </a:prstGeom>
                          <a:noFill/>
                        </pic:spPr>
                      </pic:pic>
                    </a:graphicData>
                  </a:graphic>
                </wp:inline>
              </w:drawing>
            </w:r>
            <w:r>
              <w:rPr>
                <w:color w:val="000000"/>
                <w:position w:val="-1"/>
                <w:sz w:val="20"/>
                <w:szCs w:val="20"/>
                <w:lang w:val="en-US" w:eastAsia="id-ID"/>
              </w:rPr>
              <w:t>c</w:t>
            </w:r>
          </w:p>
        </w:tc>
      </w:tr>
      <w:tr w14:paraId="35C5D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vAlign w:val="center"/>
          </w:tcPr>
          <w:p w14:paraId="0888FB53">
            <w:pPr>
              <w:suppressAutoHyphens/>
              <w:spacing w:after="0" w:line="240" w:lineRule="auto"/>
              <w:ind w:left="0" w:leftChars="-1" w:hanging="2" w:hangingChars="1"/>
              <w:jc w:val="center"/>
              <w:textAlignment w:val="top"/>
              <w:outlineLvl w:val="0"/>
              <w:rPr>
                <w:color w:val="000000"/>
                <w:position w:val="-1"/>
                <w:sz w:val="20"/>
                <w:szCs w:val="20"/>
                <w:lang w:val="en-US" w:eastAsia="id-ID"/>
              </w:rPr>
            </w:pPr>
            <w:r>
              <w:rPr>
                <w:color w:val="000000"/>
                <w:position w:val="-1"/>
                <w:sz w:val="20"/>
                <w:szCs w:val="20"/>
                <w:lang w:val="en-US" w:eastAsia="id-ID"/>
              </w:rPr>
              <w:drawing>
                <wp:inline distT="0" distB="0" distL="0" distR="0">
                  <wp:extent cx="1632585" cy="1440180"/>
                  <wp:effectExtent l="0" t="0" r="5715" b="7620"/>
                  <wp:docPr id="1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7"/>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32585" cy="1440180"/>
                          </a:xfrm>
                          <a:prstGeom prst="rect">
                            <a:avLst/>
                          </a:prstGeom>
                          <a:noFill/>
                        </pic:spPr>
                      </pic:pic>
                    </a:graphicData>
                  </a:graphic>
                </wp:inline>
              </w:drawing>
            </w:r>
            <w:r>
              <w:rPr>
                <w:color w:val="000000"/>
                <w:position w:val="-1"/>
                <w:sz w:val="20"/>
                <w:szCs w:val="20"/>
                <w:lang w:val="en-US" w:eastAsia="id-ID"/>
              </w:rPr>
              <w:t xml:space="preserve">d </w:t>
            </w:r>
            <w:r>
              <w:rPr>
                <w:color w:val="000000"/>
                <w:position w:val="-1"/>
                <w:sz w:val="20"/>
                <w:szCs w:val="20"/>
                <w:lang w:val="en-US" w:eastAsia="id-ID"/>
              </w:rPr>
              <w:drawing>
                <wp:inline distT="0" distB="0" distL="0" distR="0">
                  <wp:extent cx="1671955" cy="1440180"/>
                  <wp:effectExtent l="0" t="0" r="4445" b="7620"/>
                  <wp:docPr id="2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8"/>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671955" cy="1440180"/>
                          </a:xfrm>
                          <a:prstGeom prst="rect">
                            <a:avLst/>
                          </a:prstGeom>
                          <a:noFill/>
                        </pic:spPr>
                      </pic:pic>
                    </a:graphicData>
                  </a:graphic>
                </wp:inline>
              </w:drawing>
            </w:r>
            <w:r>
              <w:rPr>
                <w:color w:val="000000"/>
                <w:position w:val="-1"/>
                <w:sz w:val="20"/>
                <w:szCs w:val="20"/>
                <w:lang w:val="en-US" w:eastAsia="id-ID"/>
              </w:rPr>
              <w:t>e</w:t>
            </w:r>
          </w:p>
        </w:tc>
      </w:tr>
    </w:tbl>
    <w:p w14:paraId="42607E0D">
      <w:pPr>
        <w:spacing w:after="0" w:line="240" w:lineRule="auto"/>
        <w:ind w:hanging="2"/>
        <w:jc w:val="both"/>
        <w:rPr>
          <w:sz w:val="20"/>
          <w:szCs w:val="20"/>
        </w:rPr>
      </w:pPr>
      <w:r>
        <w:rPr>
          <w:b/>
          <w:color w:val="000000"/>
          <w:sz w:val="20"/>
          <w:szCs w:val="20"/>
        </w:rPr>
        <w:t xml:space="preserve">Figure 3. </w:t>
      </w:r>
      <w:r>
        <w:rPr>
          <w:sz w:val="20"/>
          <w:szCs w:val="20"/>
        </w:rPr>
        <w:t xml:space="preserve">Effect of the 50-hour metabolites of CM03 against biofilm formation of (a) </w:t>
      </w:r>
      <w:r>
        <w:rPr>
          <w:i/>
          <w:iCs/>
          <w:sz w:val="20"/>
          <w:szCs w:val="20"/>
        </w:rPr>
        <w:t>E. coli</w:t>
      </w:r>
      <w:r>
        <w:rPr>
          <w:sz w:val="20"/>
          <w:szCs w:val="20"/>
        </w:rPr>
        <w:t xml:space="preserve">, (b) </w:t>
      </w:r>
      <w:r>
        <w:rPr>
          <w:i/>
          <w:iCs/>
          <w:sz w:val="20"/>
          <w:szCs w:val="20"/>
        </w:rPr>
        <w:t>P. aeruginosa</w:t>
      </w:r>
      <w:r>
        <w:rPr>
          <w:sz w:val="20"/>
          <w:szCs w:val="20"/>
        </w:rPr>
        <w:t xml:space="preserve">, (c) </w:t>
      </w:r>
      <w:r>
        <w:rPr>
          <w:i/>
          <w:iCs/>
          <w:sz w:val="20"/>
          <w:szCs w:val="20"/>
        </w:rPr>
        <w:t>B. subtilis</w:t>
      </w:r>
      <w:r>
        <w:rPr>
          <w:sz w:val="20"/>
          <w:szCs w:val="20"/>
        </w:rPr>
        <w:t xml:space="preserve">, (d) </w:t>
      </w:r>
      <w:r>
        <w:rPr>
          <w:i/>
          <w:iCs/>
          <w:sz w:val="20"/>
          <w:szCs w:val="20"/>
        </w:rPr>
        <w:t>S. epidermidis</w:t>
      </w:r>
      <w:r>
        <w:rPr>
          <w:sz w:val="20"/>
          <w:szCs w:val="20"/>
        </w:rPr>
        <w:t xml:space="preserve">, and (e) </w:t>
      </w:r>
      <w:r>
        <w:rPr>
          <w:i/>
          <w:iCs/>
          <w:sz w:val="20"/>
          <w:szCs w:val="20"/>
        </w:rPr>
        <w:t>S. aureus</w:t>
      </w:r>
      <w:r>
        <w:rPr>
          <w:sz w:val="20"/>
          <w:szCs w:val="20"/>
        </w:rPr>
        <w:t xml:space="preserve"> with different sampl</w:t>
      </w:r>
      <w:r>
        <w:rPr>
          <w:sz w:val="20"/>
          <w:szCs w:val="20"/>
          <w:lang w:val="en-US"/>
        </w:rPr>
        <w:t>e</w:t>
      </w:r>
      <w:r>
        <w:rPr>
          <w:sz w:val="20"/>
          <w:szCs w:val="20"/>
        </w:rPr>
        <w:t>-to-pathogen ratio</w:t>
      </w:r>
      <w:r>
        <w:rPr>
          <w:sz w:val="20"/>
          <w:szCs w:val="20"/>
          <w:lang w:val="en-US"/>
        </w:rPr>
        <w:t>s</w:t>
      </w:r>
      <w:r>
        <w:rPr>
          <w:sz w:val="20"/>
          <w:szCs w:val="20"/>
        </w:rPr>
        <w:t>. Each data point represents the results of three independent experiment</w:t>
      </w:r>
      <w:r>
        <w:rPr>
          <w:sz w:val="20"/>
          <w:szCs w:val="20"/>
          <w:lang w:val="en-US"/>
        </w:rPr>
        <w:t>s</w:t>
      </w:r>
      <w:r>
        <w:rPr>
          <w:sz w:val="20"/>
          <w:szCs w:val="20"/>
        </w:rPr>
        <w:t>, with each experiment conducted in at least triplicate. Error bars indicate the standard deviations of all the measurements. Statistical difference was determined by ANOVA followed by Duncan’s post hoc test at a significance level of p &lt; 0.05.</w:t>
      </w:r>
    </w:p>
    <w:p w14:paraId="24CB6D37">
      <w:pPr>
        <w:spacing w:after="0" w:line="240" w:lineRule="auto"/>
        <w:ind w:firstLine="220" w:firstLineChars="100"/>
        <w:jc w:val="both"/>
        <w:rPr>
          <w:color w:val="000000"/>
          <w:lang w:val="en-US"/>
        </w:rPr>
        <w:sectPr>
          <w:type w:val="continuous"/>
          <w:pgSz w:w="11900" w:h="16840"/>
          <w:pgMar w:top="1418" w:right="1418" w:bottom="1418" w:left="1417" w:header="706" w:footer="706" w:gutter="0"/>
          <w:pgNumType w:fmt="decimal" w:start="1"/>
          <w:cols w:space="720" w:num="1"/>
        </w:sectPr>
      </w:pPr>
    </w:p>
    <w:p w14:paraId="0DADEE1A">
      <w:pPr>
        <w:spacing w:after="0" w:line="240" w:lineRule="auto"/>
        <w:ind w:firstLine="220" w:firstLineChars="100"/>
        <w:jc w:val="both"/>
        <w:rPr>
          <w:color w:val="000000"/>
          <w:lang w:val="en-US"/>
        </w:rPr>
      </w:pPr>
      <w:r>
        <w:rPr>
          <w:color w:val="000000"/>
          <w:lang w:val="en-US"/>
        </w:rPr>
        <w:t xml:space="preserve">Marine-derived bacteria have been acknowledged as an important source of compounds with unique structures and potential bioactivities, including antibiofilm properties against Gram-positive and Gram-negative bacteria </w:t>
      </w:r>
      <w:r>
        <w:rPr>
          <w:color w:val="000000"/>
          <w:lang w:val="en-US"/>
        </w:rPr>
        <w:fldChar w:fldCharType="begin" w:fldLock="1"/>
      </w:r>
      <w:r>
        <w:rPr>
          <w:color w:val="000000"/>
          <w:lang w:val="en-US"/>
        </w:rPr>
        <w:instrText xml:space="preserve">ADDIN CSL_CITATION {"citationItems":[{"id":"ITEM-1","itemData":{"DOI":"10.3390/JMSE9030243","ISSN":"2077-1312","abstract":"Bioprospecting in unusual marine environments provides an innovative approach to search novel biomolecules with antibiofilm activity. Antarctic sponge-associated bacteria belonging to Colwellia, Pseudoalteromonas, Shewanella and Winogradskyella genera were evaluated for their ability to contrast the biofilm formation by Pseudomonas aeruginosa ATCC 27853 and Staphylococcus aureus ATCC 29213, as model organisms. All strains were able to produce biofilm at both 4 and 25 °C, with the highest production being for Colwellia, Shewanella and Winogradskyella strains at 4 °C after 24 h. Antibiofilm activity of cell-free supernatants (CFSs) differed among strains and on the basis of their incubation temperature (CFSs4°C and CFSs25°C). The major activity was observed by CFSs4°C against S. aureus and CFSs25°C against P. aeruginosa, without demonstrating a bactericidal effect on their growth. Furthermore, the antibiofilm activity of crude extracts from Colwellia sp. GW185, Shewanella sp. CAL606, and Winogradskyella sp. CAL396 was also evaluated and visualized by confocal laser scanning microscopic images. Results based on the surface-coating assay and surface tension measurements suggest that CFSs and the crude extracts may act as biosurfactants inhibiting the first adhesion of P. aeruginosa and S. aureus. The CFSs and the novel biopolymers may be useful in applicative perspectives for pharmaceutical and environmental purposes.","author":[{"dropping-particle":"","family":"Rizzo","given":"Carmen","non-dropping-particle":"","parse-names":false,"suffix":""},{"dropping-particle":"","family":"Zammuto","given":"Vincenzo","non-dropping-particle":"","parse-names":false,"suffix":""},{"dropping-particle":"","family":"Giudice","given":"Angelina","non-dropping-particle":"Lo","parse-names":false,"suffix":""},{"dropping-particle":"","family":"Rizzo","given":"Maria Giovanna","non-dropping-particle":"","parse-names":false,"suffix":""},{"dropping-particle":"","family":"Spanò","given":"Antonio","non-dropping-particle":"","parse-names":false,"suffix":""},{"dropping-particle":"","family":"Laganà","given":"Pasqualina","non-dropping-particle":"","parse-names":false,"suffix":""},{"dropping-particle":"","family":"Martinez","given":"Miguel","non-dropping-particle":"","parse-names":false,"suffix":""},{"dropping-particle":"","family":"Guglielmino","given":"Salvatore","non-dropping-particle":"","parse-names":false,"suffix":""},{"dropping-particle":"","family":"Gugliandolo","given":"Concetta","non-dropping-particle":"","parse-names":false,"suffix":""}],"container-title":"Journal of Marine Science and Engineering 2021, Vol. 9, Page 243","id":"ITEM-1","issue":"3","issued":{"date-parts":[["2021","2","25"]]},"page":"243","publisher":"Multidisciplinary Digital Publishing Institute","title":"Antibiofilm Activity of Antarctic Sponge-Associated Bacteria against Pseudomonas aeruginosa and Staphylococcus aureus","type":"article-journal","volume":"9"},"uris":["http://www.mendeley.com/documents/?uuid=6d3c59a0-fbd2-3a1a-a920-b08428012787"]}],"mendeley":{"formattedCitation":"(Rizzo et al., 2021)","plainTextFormattedCitation":"(Rizzo et al., 2021)","previouslyFormattedCitation":"(Rizzo et al., 2021)"},"properties":{"noteIndex":0},"schema":"https://github.com/citation-style-language/schema/raw/master/csl-citation.json"}</w:instrText>
      </w:r>
      <w:r>
        <w:rPr>
          <w:color w:val="000000"/>
          <w:lang w:val="en-US"/>
        </w:rPr>
        <w:fldChar w:fldCharType="separate"/>
      </w:r>
      <w:r>
        <w:rPr>
          <w:color w:val="000000"/>
          <w:lang w:val="en-US"/>
        </w:rPr>
        <w:t xml:space="preserve">(Rizzo </w:t>
      </w:r>
      <w:r>
        <w:rPr>
          <w:i/>
          <w:color w:val="000000"/>
          <w:lang w:val="en-US"/>
        </w:rPr>
        <w:t>et al</w:t>
      </w:r>
      <w:r>
        <w:rPr>
          <w:color w:val="000000"/>
          <w:lang w:val="en-US"/>
        </w:rPr>
        <w:t>., 2021)</w:t>
      </w:r>
      <w:r>
        <w:rPr>
          <w:color w:val="000000"/>
          <w:lang w:val="en-US"/>
        </w:rPr>
        <w:fldChar w:fldCharType="end"/>
      </w:r>
      <w:r>
        <w:rPr>
          <w:color w:val="000000"/>
          <w:lang w:val="en-US"/>
        </w:rPr>
        <w:t xml:space="preserve">. In this study, a total biomass-based assessment using CV was conducted to evaluate the eradication of biofilm formation by the secondary metabolites. As shown in Figures 2 and 3, secondary metabolites from both CM01 and CM03 exhibit diverse and strain-specific antibiofilm activities. The 50-hour metabolite of CM01 showed the strongest antibiofilm effect only against </w:t>
      </w:r>
      <w:r>
        <w:rPr>
          <w:i/>
        </w:rPr>
        <w:t>E. coli</w:t>
      </w:r>
      <w:r>
        <w:t xml:space="preserve">, </w:t>
      </w:r>
      <w:r>
        <w:rPr>
          <w:i/>
        </w:rPr>
        <w:t>S. aureus</w:t>
      </w:r>
      <w:r>
        <w:t xml:space="preserve">, and </w:t>
      </w:r>
      <w:r>
        <w:rPr>
          <w:i/>
        </w:rPr>
        <w:t>S. epidermidis</w:t>
      </w:r>
      <w:r>
        <w:t xml:space="preserve">. Interestingly, this metabolite demonstrated a substantial ability to inhibit </w:t>
      </w:r>
      <w:r>
        <w:rPr>
          <w:i/>
        </w:rPr>
        <w:t>S. aureus</w:t>
      </w:r>
      <w:r>
        <w:rPr>
          <w:iCs/>
        </w:rPr>
        <w:t xml:space="preserve"> biofilm formation, which exceeded the inhibition observed for the antibiotic control (Figure 2c). This result suggest</w:t>
      </w:r>
      <w:r>
        <w:rPr>
          <w:iCs/>
          <w:lang w:val="en-US"/>
        </w:rPr>
        <w:t>s</w:t>
      </w:r>
      <w:r>
        <w:rPr>
          <w:iCs/>
        </w:rPr>
        <w:t xml:space="preserve"> that the 50-hour CM01 metabolite holds potential as an antibiofilm candidate against </w:t>
      </w:r>
      <w:r>
        <w:rPr>
          <w:i/>
        </w:rPr>
        <w:t>S. aureus</w:t>
      </w:r>
      <w:r>
        <w:rPr>
          <w:iCs/>
        </w:rPr>
        <w:t xml:space="preserve">, a pathogen recognized for its robust biofilm production and high tolerance to antibiotics. The negligible inhibition observed in </w:t>
      </w:r>
      <w:r>
        <w:rPr>
          <w:i/>
        </w:rPr>
        <w:t>P. aeruginosa</w:t>
      </w:r>
      <w:r>
        <w:t xml:space="preserve"> and</w:t>
      </w:r>
      <w:r>
        <w:rPr>
          <w:lang w:val="en-US"/>
        </w:rPr>
        <w:t xml:space="preserve"> </w:t>
      </w:r>
      <w:r>
        <w:rPr>
          <w:i/>
        </w:rPr>
        <w:t>B. subtilis</w:t>
      </w:r>
      <w:r>
        <w:rPr>
          <w:iCs/>
        </w:rPr>
        <w:t xml:space="preserve"> indicates that either the metabolite concentration was insufficient, the compound lack</w:t>
      </w:r>
      <w:r>
        <w:rPr>
          <w:iCs/>
          <w:lang w:val="en-US"/>
        </w:rPr>
        <w:t>s</w:t>
      </w:r>
      <w:r>
        <w:rPr>
          <w:iCs/>
        </w:rPr>
        <w:t xml:space="preserve"> specificity toward the biofilm matrix components</w:t>
      </w:r>
      <w:r>
        <w:rPr>
          <w:iCs/>
          <w:lang w:val="en-US"/>
        </w:rPr>
        <w:t>,</w:t>
      </w:r>
      <w:r>
        <w:rPr>
          <w:iCs/>
        </w:rPr>
        <w:t xml:space="preserve"> or these species posse</w:t>
      </w:r>
      <w:r>
        <w:rPr>
          <w:iCs/>
          <w:lang w:val="en-US"/>
        </w:rPr>
        <w:t>s</w:t>
      </w:r>
      <w:r>
        <w:rPr>
          <w:iCs/>
        </w:rPr>
        <w:t xml:space="preserve">s more robust </w:t>
      </w:r>
      <w:r>
        <w:rPr>
          <w:color w:val="000000"/>
        </w:rPr>
        <w:t xml:space="preserve">extracellular polymeric substance (EPS) </w:t>
      </w:r>
      <w:r>
        <w:rPr>
          <w:iCs/>
        </w:rPr>
        <w:t xml:space="preserve">structures. </w:t>
      </w:r>
      <w:r>
        <w:rPr>
          <w:i/>
          <w:color w:val="000000"/>
          <w:lang w:val="en-US"/>
        </w:rPr>
        <w:t>P. aeruginosa</w:t>
      </w:r>
      <w:r>
        <w:rPr>
          <w:color w:val="000000"/>
          <w:lang w:val="en-US"/>
        </w:rPr>
        <w:t xml:space="preserve"> is specifically known to have a very mature and resistant biofilm system to many antimicrobial compounds, including conventional antibiotics </w:t>
      </w:r>
      <w:r>
        <w:rPr>
          <w:color w:val="000000"/>
          <w:lang w:val="en-US"/>
        </w:rPr>
        <w:fldChar w:fldCharType="begin" w:fldLock="1"/>
      </w:r>
      <w:r>
        <w:rPr>
          <w:color w:val="000000"/>
          <w:lang w:val="en-US"/>
        </w:rPr>
        <w:instrText xml:space="preserve">ADDIN CSL_CITATION {"citationItems":[{"id":"ITEM-1","itemData":{"DOI":"10.1038/s44259-024-00046-3","ISSN":"2731-8745","PMID":"39364333","abstract":"Most bacteria in nature exist in aggregated communities known as biofilms, and cells within a biofilm demonstrate major physiological changes compared to their planktonic counterparts. Biofilms are associated with many different types of infections which can have severe impacts on patients. Infections involving a biofilm component are often chronic and highly recalcitrant to antibiotic therapy as a result of intrinsic physical factors including extracellular matrix production, low growth rates, altered antibiotic target production and efficient exchange of resistance genes. This review describes the biofilm lifecycle, phenotypic characteristics of a biofilm, and contribution of matrix and persister cells to biofilms intrinsic tolerance to antimicrobials. We also describe how biofilms can evolve antibiotic resistance and transfer resistance genes within biofilms. Multispecies biofilms and the impacts of various interactions, including cooperation and competition, between species on tolerance to antimicrobials in polymicrobial biofilm communities are also discussed.","author":[{"dropping-particle":"","family":"Liu","given":"Ho Yu","non-dropping-particle":"","parse-names":false,"suffix":""},{"dropping-particle":"","family":"Prentice","given":"Emma L.","non-dropping-particle":"","parse-names":false,"suffix":""},{"dropping-particle":"","family":"Webber","given":"Mark A.","non-dropping-particle":"","parse-names":false,"suffix":""}],"container-title":"npj Antimicrobials and Resistance 2024 2:1","id":"ITEM-1","issue":"1","issued":{"date-parts":[["2024","10","1"]]},"page":"27-","publisher":"Nature Publishing Group","title":"Mechanisms of antimicrobial resistance in biofilms","type":"article-journal","volume":"2"},"uris":["http://www.mendeley.com/documents/?uuid=ae9055be-f6e1-3366-ab21-b05a50b144e2"]}],"mendeley":{"formattedCitation":"(Liu et al., 2024)","plainTextFormattedCitation":"(Liu et al., 2024)","previouslyFormattedCitation":"(Liu et al., 2024)"},"properties":{"noteIndex":0},"schema":"https://github.com/citation-style-language/schema/raw/master/csl-citation.json"}</w:instrText>
      </w:r>
      <w:r>
        <w:rPr>
          <w:color w:val="000000"/>
          <w:lang w:val="en-US"/>
        </w:rPr>
        <w:fldChar w:fldCharType="separate"/>
      </w:r>
      <w:r>
        <w:rPr>
          <w:color w:val="000000"/>
          <w:lang w:val="en-US"/>
        </w:rPr>
        <w:t xml:space="preserve">(Liu </w:t>
      </w:r>
      <w:r>
        <w:rPr>
          <w:i/>
          <w:color w:val="000000"/>
          <w:lang w:val="en-US"/>
        </w:rPr>
        <w:t>et al</w:t>
      </w:r>
      <w:r>
        <w:rPr>
          <w:color w:val="000000"/>
          <w:lang w:val="en-US"/>
        </w:rPr>
        <w:t>., 2024)</w:t>
      </w:r>
      <w:r>
        <w:rPr>
          <w:color w:val="000000"/>
          <w:lang w:val="en-US"/>
        </w:rPr>
        <w:fldChar w:fldCharType="end"/>
      </w:r>
      <w:r>
        <w:rPr>
          <w:color w:val="000000"/>
          <w:lang w:val="en-US"/>
        </w:rPr>
        <w:t>.</w:t>
      </w:r>
    </w:p>
    <w:p w14:paraId="4E9AF69A">
      <w:pPr>
        <w:spacing w:after="0" w:line="240" w:lineRule="auto"/>
        <w:ind w:firstLine="220" w:firstLineChars="100"/>
        <w:jc w:val="both"/>
        <w:rPr>
          <w:iCs/>
        </w:rPr>
      </w:pPr>
      <w:r>
        <w:rPr>
          <w:color w:val="000000"/>
          <w:lang w:val="en-US"/>
        </w:rPr>
        <w:t xml:space="preserve">In contrast, the 50-hour metabolite of CM03 demonstrated a broader and stronger antibiofilm potency, particularly against </w:t>
      </w:r>
      <w:r>
        <w:rPr>
          <w:i/>
          <w:iCs/>
        </w:rPr>
        <w:t>E. coli</w:t>
      </w:r>
      <w:r>
        <w:t xml:space="preserve"> and </w:t>
      </w:r>
      <w:r>
        <w:rPr>
          <w:i/>
          <w:iCs/>
        </w:rPr>
        <w:t xml:space="preserve">P. aeruginosa </w:t>
      </w:r>
      <w:r>
        <w:t>(Figure 3a and b)</w:t>
      </w:r>
      <w:r>
        <w:rPr>
          <w:lang w:val="en-US"/>
        </w:rPr>
        <w:t>,</w:t>
      </w:r>
      <w:r>
        <w:t xml:space="preserve"> with inhibition rates exceeding 75%. This finding is significant because </w:t>
      </w:r>
      <w:r>
        <w:rPr>
          <w:i/>
          <w:iCs/>
        </w:rPr>
        <w:t xml:space="preserve">P. </w:t>
      </w:r>
      <w:r>
        <w:rPr>
          <w:i/>
          <w:iCs/>
          <w:lang w:val="en-US"/>
        </w:rPr>
        <w:t>a</w:t>
      </w:r>
      <w:r>
        <w:rPr>
          <w:i/>
          <w:iCs/>
        </w:rPr>
        <w:t>eruginosa</w:t>
      </w:r>
      <w:r>
        <w:t xml:space="preserve"> is notoriously difficult to target due to its complex biofilm formation and multidrug resistan</w:t>
      </w:r>
      <w:r>
        <w:rPr>
          <w:lang w:val="en-US"/>
        </w:rPr>
        <w:t>ce</w:t>
      </w:r>
      <w:r>
        <w:t xml:space="preserve">. The ability of CM03 metabolite to inhibit </w:t>
      </w:r>
      <w:r>
        <w:rPr>
          <w:i/>
        </w:rPr>
        <w:t>B. subtilis</w:t>
      </w:r>
      <w:r>
        <w:rPr>
          <w:iCs/>
        </w:rPr>
        <w:t xml:space="preserve"> and </w:t>
      </w:r>
      <w:r>
        <w:rPr>
          <w:i/>
        </w:rPr>
        <w:t>S. aureus</w:t>
      </w:r>
      <w:r>
        <w:rPr>
          <w:iCs/>
        </w:rPr>
        <w:t xml:space="preserve"> at </w:t>
      </w:r>
      <w:r>
        <w:rPr>
          <w:iCs/>
          <w:lang w:val="en-US"/>
        </w:rPr>
        <w:t xml:space="preserve">a </w:t>
      </w:r>
      <w:r>
        <w:rPr>
          <w:iCs/>
        </w:rPr>
        <w:t>lower sampl</w:t>
      </w:r>
      <w:r>
        <w:rPr>
          <w:iCs/>
          <w:lang w:val="en-US"/>
        </w:rPr>
        <w:t>e</w:t>
      </w:r>
      <w:r>
        <w:rPr>
          <w:iCs/>
        </w:rPr>
        <w:t xml:space="preserve"> ratio (Figure 3c and e) suggests higher potency as </w:t>
      </w:r>
      <w:r>
        <w:rPr>
          <w:iCs/>
          <w:lang w:val="en-US"/>
        </w:rPr>
        <w:t xml:space="preserve">an </w:t>
      </w:r>
      <w:r>
        <w:rPr>
          <w:iCs/>
        </w:rPr>
        <w:t xml:space="preserve">antibiofilm agent. Interestingly, </w:t>
      </w:r>
      <w:r>
        <w:t>increasing metabolite concentrations did not universally enhance antibiofilm activity against pathogens. For CM03, higher concentrations resulted in reduce</w:t>
      </w:r>
      <w:r>
        <w:rPr>
          <w:lang w:val="en-US"/>
        </w:rPr>
        <w:t>d</w:t>
      </w:r>
      <w:r>
        <w:t xml:space="preserve"> inhibition against </w:t>
      </w:r>
      <w:r>
        <w:rPr>
          <w:i/>
        </w:rPr>
        <w:t>B. subtilis</w:t>
      </w:r>
      <w:r>
        <w:t xml:space="preserve"> and </w:t>
      </w:r>
      <w:r>
        <w:rPr>
          <w:i/>
        </w:rPr>
        <w:t>S. aureus</w:t>
      </w:r>
      <w:r>
        <w:rPr>
          <w:iCs/>
        </w:rPr>
        <w:t>. This pattern may indicate concentration-dependent atagonism, metabolic instability in higher doses</w:t>
      </w:r>
      <w:r>
        <w:rPr>
          <w:iCs/>
          <w:lang w:val="en-US"/>
        </w:rPr>
        <w:t>,</w:t>
      </w:r>
      <w:r>
        <w:rPr>
          <w:iCs/>
        </w:rPr>
        <w:t xml:space="preserve"> or the presence of compounds that exert inhibitory effects. Similar biphasic responses have been documented in natural metabolites where excessive concentrations may disrupt compound synergy or induce bacterial stress responses that paradoxically promote biofilm formation (Panesyan </w:t>
      </w:r>
      <w:r>
        <w:rPr>
          <w:i/>
        </w:rPr>
        <w:t>et al.,</w:t>
      </w:r>
      <w:r>
        <w:rPr>
          <w:iCs/>
        </w:rPr>
        <w:t xml:space="preserve"> 2020; Kang </w:t>
      </w:r>
      <w:r>
        <w:rPr>
          <w:i/>
        </w:rPr>
        <w:t>et al</w:t>
      </w:r>
      <w:r>
        <w:rPr>
          <w:i/>
          <w:lang w:val="en-US"/>
        </w:rPr>
        <w:t>.,</w:t>
      </w:r>
      <w:r>
        <w:rPr>
          <w:iCs/>
        </w:rPr>
        <w:t xml:space="preserve"> 2022). </w:t>
      </w:r>
    </w:p>
    <w:p w14:paraId="1BDA3F0F">
      <w:pPr>
        <w:spacing w:after="0" w:line="240" w:lineRule="auto"/>
        <w:ind w:firstLine="220" w:firstLineChars="100"/>
        <w:jc w:val="both"/>
      </w:pPr>
      <w:r>
        <w:t>Taken together, these findings highlight the considerable potential of symbiotic marine bacteria metabolites as sources of antibiofilm compounds. The particularly strong activity observed in the 50-hour metabolite of CM03 make</w:t>
      </w:r>
      <w:r>
        <w:rPr>
          <w:lang w:val="en-US"/>
        </w:rPr>
        <w:t>s</w:t>
      </w:r>
      <w:r>
        <w:t xml:space="preserve"> it promis</w:t>
      </w:r>
      <w:r>
        <w:rPr>
          <w:lang w:val="en-US"/>
        </w:rPr>
        <w:t>ing</w:t>
      </w:r>
      <w:r>
        <w:t xml:space="preserve"> for further purification, characterization</w:t>
      </w:r>
      <w:r>
        <w:rPr>
          <w:lang w:val="en-US"/>
        </w:rPr>
        <w:t>,</w:t>
      </w:r>
      <w:r>
        <w:t xml:space="preserve"> and analysis </w:t>
      </w:r>
      <w:r>
        <w:rPr>
          <w:lang w:val="en-US"/>
        </w:rPr>
        <w:t xml:space="preserve">of </w:t>
      </w:r>
      <w:r>
        <w:t xml:space="preserve">the mechanism of action. Research </w:t>
      </w:r>
      <w:r>
        <w:rPr>
          <w:lang w:val="en-US"/>
        </w:rPr>
        <w:t>t</w:t>
      </w:r>
      <w:r>
        <w:t>o identify the specific bioactive molecules, evaluate their cytotoxicity</w:t>
      </w:r>
      <w:r>
        <w:rPr>
          <w:lang w:val="en-US"/>
        </w:rPr>
        <w:t>,</w:t>
      </w:r>
      <w:r>
        <w:t xml:space="preserve"> and explore the synergistic effects with antibiotics need to be conduct</w:t>
      </w:r>
      <w:r>
        <w:rPr>
          <w:lang w:val="en-US"/>
        </w:rPr>
        <w:t>ed</w:t>
      </w:r>
      <w:r>
        <w:t xml:space="preserve">. </w:t>
      </w:r>
    </w:p>
    <w:p w14:paraId="22610FF4">
      <w:pPr>
        <w:spacing w:after="0" w:line="240" w:lineRule="auto"/>
        <w:ind w:hanging="2"/>
        <w:jc w:val="both"/>
        <w:rPr>
          <w:b/>
          <w:color w:val="000000"/>
        </w:rPr>
      </w:pPr>
    </w:p>
    <w:p w14:paraId="73223A9A">
      <w:pPr>
        <w:spacing w:after="0" w:line="240" w:lineRule="auto"/>
        <w:ind w:hanging="2"/>
        <w:jc w:val="both"/>
        <w:rPr>
          <w:b/>
          <w:color w:val="000000"/>
        </w:rPr>
      </w:pPr>
      <w:r>
        <w:rPr>
          <w:b/>
          <w:color w:val="000000"/>
        </w:rPr>
        <w:t xml:space="preserve">Visualization of Electrophoresis Results of Genomic DNA Isolation </w:t>
      </w:r>
    </w:p>
    <w:p w14:paraId="7DD4CB07">
      <w:pPr>
        <w:spacing w:after="0" w:line="240" w:lineRule="auto"/>
        <w:ind w:firstLine="220" w:firstLineChars="100"/>
        <w:jc w:val="both"/>
        <w:rPr>
          <w:color w:val="000000"/>
        </w:rPr>
      </w:pPr>
      <w:r>
        <w:rPr>
          <w:color w:val="000000"/>
        </w:rPr>
        <w:t xml:space="preserve">Based on its strong antibiofilm potential, strain CM03 was subsequently subjected to genomic DNA isolation for molecular diagnosis and taxonomic identification. The electrophoresis method was used </w:t>
      </w:r>
      <w:r>
        <w:rPr>
          <w:color w:val="000000"/>
          <w:lang w:val="en-US"/>
        </w:rPr>
        <w:t>to</w:t>
      </w:r>
      <w:r>
        <w:rPr>
          <w:color w:val="000000"/>
        </w:rPr>
        <w:t xml:space="preserve"> visualize the DNA, enabling separation</w:t>
      </w:r>
      <w:r>
        <w:rPr>
          <w:color w:val="000000"/>
          <w:lang w:val="en-US"/>
        </w:rPr>
        <w:t xml:space="preserve"> </w:t>
      </w:r>
      <w:r>
        <w:rPr>
          <w:color w:val="000000"/>
        </w:rPr>
        <w:t>of nucleic acid fragment</w:t>
      </w:r>
      <w:r>
        <w:rPr>
          <w:color w:val="000000"/>
          <w:lang w:val="en-US"/>
        </w:rPr>
        <w:t>s</w:t>
      </w:r>
      <w:r>
        <w:rPr>
          <w:color w:val="000000"/>
        </w:rPr>
        <w:t xml:space="preserve"> according to their size, weight, and molecular conformation. The electropherogram results for </w:t>
      </w:r>
      <w:r>
        <w:rPr>
          <w:lang w:val="en-US"/>
        </w:rPr>
        <w:t>CM03</w:t>
      </w:r>
      <w:r>
        <w:rPr>
          <w:color w:val="000000"/>
        </w:rPr>
        <w:t xml:space="preserve"> revealed a single, distinc</w:t>
      </w:r>
      <w:r>
        <w:rPr>
          <w:color w:val="000000"/>
          <w:lang w:val="en-US"/>
        </w:rPr>
        <w:t>t</w:t>
      </w:r>
      <w:r>
        <w:rPr>
          <w:color w:val="000000"/>
        </w:rPr>
        <w:t xml:space="preserve"> genomic DNA band exceeding the upper range of the 1-kb DNA ladder, with an estimated size greater than 10,000 bp (Figure 4). Thicker and brighter bands correspond to higher DNA concentrations.</w:t>
      </w:r>
    </w:p>
    <w:p w14:paraId="12960D4B">
      <w:pPr>
        <w:spacing w:after="0" w:line="240" w:lineRule="auto"/>
        <w:ind w:hanging="2"/>
        <w:jc w:val="both"/>
        <w:rPr>
          <w:color w:val="000000"/>
        </w:rPr>
      </w:pPr>
      <w:r>
        <w:rPr>
          <w:color w:val="000000"/>
          <w:sz w:val="20"/>
          <w:szCs w:val="20"/>
          <w:lang w:val="en-US"/>
        </w:rPr>
        <mc:AlternateContent>
          <mc:Choice Requires="wps">
            <w:drawing>
              <wp:anchor distT="0" distB="0" distL="114300" distR="114300" simplePos="0" relativeHeight="251661312" behindDoc="0" locked="0" layoutInCell="1" allowOverlap="1">
                <wp:simplePos x="0" y="0"/>
                <wp:positionH relativeFrom="column">
                  <wp:posOffset>612140</wp:posOffset>
                </wp:positionH>
                <wp:positionV relativeFrom="paragraph">
                  <wp:posOffset>101600</wp:posOffset>
                </wp:positionV>
                <wp:extent cx="253365" cy="231140"/>
                <wp:effectExtent l="0" t="0" r="0" b="0"/>
                <wp:wrapNone/>
                <wp:docPr id="165" name="Text Box 165"/>
                <wp:cNvGraphicFramePr/>
                <a:graphic xmlns:a="http://schemas.openxmlformats.org/drawingml/2006/main">
                  <a:graphicData uri="http://schemas.microsoft.com/office/word/2010/wordprocessingShape">
                    <wps:wsp>
                      <wps:cNvSpPr txBox="1"/>
                      <wps:spPr>
                        <a:xfrm>
                          <a:off x="0" y="0"/>
                          <a:ext cx="253365" cy="2311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E4F3D9">
                            <w:pPr>
                              <w:ind w:left="-142" w:right="-43" w:firstLine="0"/>
                              <w:jc w:val="right"/>
                              <w:rPr>
                                <w:b/>
                                <w:color w:val="FFFFFF" w:themeColor="background1"/>
                                <w:sz w:val="18"/>
                                <w:szCs w:val="18"/>
                                <w14:textFill>
                                  <w14:solidFill>
                                    <w14:schemeClr w14:val="bg1"/>
                                  </w14:solidFill>
                                </w14:textFill>
                              </w:rPr>
                            </w:pPr>
                            <w:r>
                              <w:rPr>
                                <w:b/>
                                <w:color w:val="FFFFFF" w:themeColor="background1"/>
                                <w:sz w:val="18"/>
                                <w:szCs w:val="18"/>
                                <w14:textFill>
                                  <w14:solidFill>
                                    <w14:schemeClr w14:val="bg1"/>
                                  </w14:solidFill>
                                </w14:textFill>
                              </w:rPr>
                              <w:t>(a)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02" type="#_x0000_t202" style="position:absolute;left:0pt;margin-left:48.2pt;margin-top:8pt;height:18.2pt;width:19.95pt;z-index:251661312;v-text-anchor:middle;mso-width-relative:page;mso-height-relative:page;" filled="f" stroked="f" coordsize="21600,21600" o:gfxdata="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r6UPRNkAAAAIAQAADwAAAAAAAAABACAAAAAiAAAAZHJzL2Rvd25yZXYu&#10;eG1sUEsBAhQAFAAAAAgAh07iQFfI57kzAgAAeAQAAA4AAAAAAAAAAQAgAAAAKAEAAGRycy9lMm9E&#10;b2MueG1sUEsFBgAAAAAGAAYAWQEAAM0FAAAAAA==&#10;">
                <v:fill on="f" focussize="0,0"/>
                <v:stroke on="f" weight="0.5pt"/>
                <v:imagedata o:title=""/>
                <o:lock v:ext="edit" aspectratio="f"/>
                <v:textbox>
                  <w:txbxContent>
                    <w:p w14:paraId="68E4F3D9">
                      <w:pPr>
                        <w:ind w:left="-142" w:right="-43" w:firstLine="0"/>
                        <w:jc w:val="right"/>
                        <w:rPr>
                          <w:b/>
                          <w:color w:val="FFFFFF" w:themeColor="background1"/>
                          <w:sz w:val="18"/>
                          <w:szCs w:val="18"/>
                          <w14:textFill>
                            <w14:solidFill>
                              <w14:schemeClr w14:val="bg1"/>
                            </w14:solidFill>
                          </w14:textFill>
                        </w:rPr>
                      </w:pPr>
                      <w:r>
                        <w:rPr>
                          <w:b/>
                          <w:color w:val="FFFFFF" w:themeColor="background1"/>
                          <w:sz w:val="18"/>
                          <w:szCs w:val="18"/>
                          <w14:textFill>
                            <w14:solidFill>
                              <w14:schemeClr w14:val="bg1"/>
                            </w14:solidFill>
                          </w14:textFill>
                        </w:rPr>
                        <w:t>(a)</w:t>
                      </w:r>
                    </w:p>
                  </w:txbxContent>
                </v:textbox>
              </v:shape>
            </w:pict>
          </mc:Fallback>
        </mc:AlternateContent>
      </w:r>
      <w:r>
        <w:rPr>
          <w:color w:val="000000"/>
          <w:sz w:val="20"/>
          <w:szCs w:val="20"/>
          <w:lang w:val="en-US"/>
        </w:rPr>
        <mc:AlternateContent>
          <mc:Choice Requires="wps">
            <w:drawing>
              <wp:anchor distT="0" distB="0" distL="114300" distR="114300" simplePos="0" relativeHeight="251662336" behindDoc="0" locked="0" layoutInCell="1" allowOverlap="1">
                <wp:simplePos x="0" y="0"/>
                <wp:positionH relativeFrom="column">
                  <wp:posOffset>1004570</wp:posOffset>
                </wp:positionH>
                <wp:positionV relativeFrom="paragraph">
                  <wp:posOffset>89535</wp:posOffset>
                </wp:positionV>
                <wp:extent cx="253365" cy="231140"/>
                <wp:effectExtent l="0" t="0" r="0" b="0"/>
                <wp:wrapNone/>
                <wp:docPr id="166" name="Text Box 166"/>
                <wp:cNvGraphicFramePr/>
                <a:graphic xmlns:a="http://schemas.openxmlformats.org/drawingml/2006/main">
                  <a:graphicData uri="http://schemas.microsoft.com/office/word/2010/wordprocessingShape">
                    <wps:wsp>
                      <wps:cNvSpPr txBox="1"/>
                      <wps:spPr>
                        <a:xfrm>
                          <a:off x="0" y="0"/>
                          <a:ext cx="253365" cy="2311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14CA18">
                            <w:pPr>
                              <w:ind w:left="-142" w:right="-43" w:firstLine="0"/>
                              <w:jc w:val="right"/>
                              <w:rPr>
                                <w:b/>
                                <w:color w:val="FFFFFF" w:themeColor="background1"/>
                                <w:sz w:val="18"/>
                                <w:szCs w:val="18"/>
                                <w14:textFill>
                                  <w14:solidFill>
                                    <w14:schemeClr w14:val="bg1"/>
                                  </w14:solidFill>
                                </w14:textFill>
                              </w:rPr>
                            </w:pPr>
                            <w:r>
                              <w:rPr>
                                <w:b/>
                                <w:color w:val="FFFFFF" w:themeColor="background1"/>
                                <w:sz w:val="18"/>
                                <w:szCs w:val="18"/>
                                <w14:textFill>
                                  <w14:solidFill>
                                    <w14:schemeClr w14:val="bg1"/>
                                  </w14:solidFill>
                                </w14:textFill>
                              </w:rPr>
                              <w:t>(b)</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02" type="#_x0000_t202" style="position:absolute;left:0pt;margin-left:79.1pt;margin-top:7.05pt;height:18.2pt;width:19.95pt;z-index:251662336;v-text-anchor:middle;mso-width-relative:page;mso-height-relative:page;" filled="f" stroked="f" coordsize="21600,21600" o:gfxdata="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mse879gAAAAJAQAADwAAAAAAAAABACAAAAAiAAAAZHJzL2Rvd25yZXYu&#10;eG1sUEsBAhQAFAAAAAgAh07iQOhH9tU0AgAAeAQAAA4AAAAAAAAAAQAgAAAAJwEAAGRycy9lMm9E&#10;b2MueG1sUEsFBgAAAAAGAAYAWQEAAM0FAAAAAA==&#10;">
                <v:fill on="f" focussize="0,0"/>
                <v:stroke on="f" weight="0.5pt"/>
                <v:imagedata o:title=""/>
                <o:lock v:ext="edit" aspectratio="f"/>
                <v:textbox>
                  <w:txbxContent>
                    <w:p w14:paraId="7414CA18">
                      <w:pPr>
                        <w:ind w:left="-142" w:right="-43" w:firstLine="0"/>
                        <w:jc w:val="right"/>
                        <w:rPr>
                          <w:b/>
                          <w:color w:val="FFFFFF" w:themeColor="background1"/>
                          <w:sz w:val="18"/>
                          <w:szCs w:val="18"/>
                          <w14:textFill>
                            <w14:solidFill>
                              <w14:schemeClr w14:val="bg1"/>
                            </w14:solidFill>
                          </w14:textFill>
                        </w:rPr>
                      </w:pPr>
                      <w:r>
                        <w:rPr>
                          <w:b/>
                          <w:color w:val="FFFFFF" w:themeColor="background1"/>
                          <w:sz w:val="18"/>
                          <w:szCs w:val="18"/>
                          <w14:textFill>
                            <w14:solidFill>
                              <w14:schemeClr w14:val="bg1"/>
                            </w14:solidFill>
                          </w14:textFill>
                        </w:rPr>
                        <w:t>(b)</w:t>
                      </w:r>
                    </w:p>
                  </w:txbxContent>
                </v:textbox>
              </v:shape>
            </w:pict>
          </mc:Fallback>
        </mc:AlternateContent>
      </w:r>
    </w:p>
    <w:p w14:paraId="1724C70F">
      <w:pPr>
        <w:spacing w:after="0" w:line="240" w:lineRule="auto"/>
        <w:ind w:hanging="2"/>
        <w:jc w:val="both"/>
        <w:rPr>
          <w:color w:val="000000"/>
          <w:sz w:val="20"/>
          <w:szCs w:val="20"/>
        </w:rPr>
      </w:pPr>
      <w:r>
        <w:rPr>
          <w:color w:val="000000"/>
          <w:sz w:val="20"/>
          <w:szCs w:val="20"/>
          <w:lang w:val="en-US"/>
        </w:rPr>
        <mc:AlternateContent>
          <mc:Choice Requires="wps">
            <w:drawing>
              <wp:anchor distT="0" distB="0" distL="114300" distR="114300" simplePos="0" relativeHeight="251664384" behindDoc="0" locked="0" layoutInCell="1" allowOverlap="1">
                <wp:simplePos x="0" y="0"/>
                <wp:positionH relativeFrom="column">
                  <wp:posOffset>-38100</wp:posOffset>
                </wp:positionH>
                <wp:positionV relativeFrom="paragraph">
                  <wp:posOffset>535940</wp:posOffset>
                </wp:positionV>
                <wp:extent cx="655320" cy="266700"/>
                <wp:effectExtent l="0" t="0" r="0" b="0"/>
                <wp:wrapNone/>
                <wp:docPr id="52" name="Text Box 52"/>
                <wp:cNvGraphicFramePr/>
                <a:graphic xmlns:a="http://schemas.openxmlformats.org/drawingml/2006/main">
                  <a:graphicData uri="http://schemas.microsoft.com/office/word/2010/wordprocessingShape">
                    <wps:wsp>
                      <wps:cNvSpPr txBox="1"/>
                      <wps:spPr>
                        <a:xfrm>
                          <a:off x="0" y="0"/>
                          <a:ext cx="655320"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B4B3C51">
                            <w:pPr>
                              <w:ind w:firstLine="0"/>
                              <w:jc w:val="both"/>
                              <w:rPr>
                                <w:sz w:val="18"/>
                                <w:szCs w:val="18"/>
                              </w:rPr>
                            </w:pPr>
                            <w:r>
                              <w:rPr>
                                <w:sz w:val="18"/>
                                <w:szCs w:val="18"/>
                              </w:rPr>
                              <w:t>10.000 bp</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02" type="#_x0000_t202" style="position:absolute;left:0pt;margin-left:-3pt;margin-top:42.2pt;height:21pt;width:51.6pt;z-index:251664384;v-text-anchor:middle;mso-width-relative:page;mso-height-relative:page;" filled="f" stroked="f" coordsize="21600,21600" o:gfxdata="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fGzunNkAAAAIAQAADwAAAAAAAAABACAAAAAiAAAAZHJzL2Rvd25yZXYu&#10;eG1sUEsBAhQAFAAAAAgAh07iQM6Nt6MzAgAAdgQAAA4AAAAAAAAAAQAgAAAAKAEAAGRycy9lMm9E&#10;b2MueG1sUEsFBgAAAAAGAAYAWQEAAM0FAAAAAA==&#10;">
                <v:fill on="f" focussize="0,0"/>
                <v:stroke on="f" weight="0.5pt"/>
                <v:imagedata o:title=""/>
                <o:lock v:ext="edit" aspectratio="f"/>
                <v:textbox>
                  <w:txbxContent>
                    <w:p w14:paraId="7B4B3C51">
                      <w:pPr>
                        <w:ind w:firstLine="0"/>
                        <w:jc w:val="both"/>
                        <w:rPr>
                          <w:sz w:val="18"/>
                          <w:szCs w:val="18"/>
                        </w:rPr>
                      </w:pPr>
                      <w:r>
                        <w:rPr>
                          <w:sz w:val="18"/>
                          <w:szCs w:val="18"/>
                        </w:rPr>
                        <w:t>10.000 bp</w:t>
                      </w:r>
                    </w:p>
                  </w:txbxContent>
                </v:textbox>
              </v:shape>
            </w:pict>
          </mc:Fallback>
        </mc:AlternateContent>
      </w:r>
      <w:r>
        <w:rPr>
          <w:color w:val="000000"/>
          <w:sz w:val="20"/>
          <w:szCs w:val="20"/>
          <w:lang w:val="en-US"/>
        </w:rPr>
        <mc:AlternateContent>
          <mc:Choice Requires="wps">
            <w:drawing>
              <wp:anchor distT="0" distB="0" distL="114300" distR="114300" simplePos="0" relativeHeight="251660288" behindDoc="0" locked="0" layoutInCell="1" allowOverlap="1">
                <wp:simplePos x="0" y="0"/>
                <wp:positionH relativeFrom="column">
                  <wp:posOffset>562610</wp:posOffset>
                </wp:positionH>
                <wp:positionV relativeFrom="paragraph">
                  <wp:posOffset>262255</wp:posOffset>
                </wp:positionV>
                <wp:extent cx="770255" cy="151130"/>
                <wp:effectExtent l="6350" t="6350" r="10795" b="7620"/>
                <wp:wrapNone/>
                <wp:docPr id="164" name="Rectangle 164"/>
                <wp:cNvGraphicFramePr/>
                <a:graphic xmlns:a="http://schemas.openxmlformats.org/drawingml/2006/main">
                  <a:graphicData uri="http://schemas.microsoft.com/office/word/2010/wordprocessingShape">
                    <wps:wsp>
                      <wps:cNvSpPr/>
                      <wps:spPr>
                        <a:xfrm>
                          <a:off x="0" y="0"/>
                          <a:ext cx="770255" cy="151130"/>
                        </a:xfrm>
                        <a:prstGeom prst="rect">
                          <a:avLst/>
                        </a:prstGeom>
                        <a:noFill/>
                        <a:ln w="12700">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4.3pt;margin-top:20.65pt;height:11.9pt;width:60.65pt;z-index:251660288;v-text-anchor:middle;mso-width-relative:page;mso-height-relative:page;" filled="f" stroked="t" coordsize="21600,21600" o:gfxdata="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mDawY1wAAAAgB&#10;AAAPAAAAAAAAAAEAIAAAACIAAABkcnMvZG93bnJldi54bWxQSwECFAAUAAAACACHTuJALx1/c1UC&#10;AAC6BAAADgAAAAAAAAABACAAAAAmAQAAZHJzL2Uyb0RvYy54bWxQSwUGAAAAAAYABgBZAQAA7QUA&#10;AAAA&#10;">
                <v:fill on="f" focussize="0,0"/>
                <v:stroke weight="1pt" color="#C00000 [3204]" joinstyle="round"/>
                <v:imagedata o:title=""/>
                <o:lock v:ext="edit" aspectratio="f"/>
              </v:rect>
            </w:pict>
          </mc:Fallback>
        </mc:AlternateContent>
      </w:r>
      <w:r>
        <w:rPr>
          <w:color w:val="000000"/>
          <w:sz w:val="20"/>
          <w:szCs w:val="20"/>
          <w:lang w:val="en-US"/>
        </w:rPr>
        <mc:AlternateContent>
          <mc:Choice Requires="wps">
            <w:drawing>
              <wp:anchor distT="0" distB="0" distL="114300" distR="114300" simplePos="0" relativeHeight="251663360" behindDoc="0" locked="0" layoutInCell="1" allowOverlap="1">
                <wp:simplePos x="0" y="0"/>
                <wp:positionH relativeFrom="column">
                  <wp:posOffset>1316990</wp:posOffset>
                </wp:positionH>
                <wp:positionV relativeFrom="paragraph">
                  <wp:posOffset>219710</wp:posOffset>
                </wp:positionV>
                <wp:extent cx="761365" cy="266700"/>
                <wp:effectExtent l="0" t="0" r="0" b="0"/>
                <wp:wrapNone/>
                <wp:docPr id="47" name="Text Box 47"/>
                <wp:cNvGraphicFramePr/>
                <a:graphic xmlns:a="http://schemas.openxmlformats.org/drawingml/2006/main">
                  <a:graphicData uri="http://schemas.microsoft.com/office/word/2010/wordprocessingShape">
                    <wps:wsp>
                      <wps:cNvSpPr txBox="1"/>
                      <wps:spPr>
                        <a:xfrm>
                          <a:off x="0" y="0"/>
                          <a:ext cx="761365"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ED1FF0F">
                            <w:pPr>
                              <w:ind w:firstLine="0"/>
                              <w:rPr>
                                <w:sz w:val="18"/>
                                <w:szCs w:val="18"/>
                              </w:rPr>
                            </w:pPr>
                            <w:r>
                              <w:rPr>
                                <w:sz w:val="18"/>
                                <w:szCs w:val="18"/>
                              </w:rPr>
                              <w:t>&gt; 10.000 bp</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02" type="#_x0000_t202" style="position:absolute;left:0pt;margin-left:103.7pt;margin-top:17.3pt;height:21pt;width:59.95pt;z-index:251663360;v-text-anchor:middle;mso-width-relative:page;mso-height-relative:page;" filled="f" stroked="f" coordsize="21600,21600" o:gfxdata="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svXXL2gAAAAkBAAAPAAAAAAAAAAEAIAAAACIAAABkcnMvZG93bnJl&#10;di54bWxQSwECFAAUAAAACACHTuJAF5Qm2zQCAAB2BAAADgAAAAAAAAABACAAAAApAQAAZHJzL2Uy&#10;b0RvYy54bWxQSwUGAAAAAAYABgBZAQAAzwUAAAAA&#10;">
                <v:fill on="f" focussize="0,0"/>
                <v:stroke on="f" weight="0.5pt"/>
                <v:imagedata o:title=""/>
                <o:lock v:ext="edit" aspectratio="f"/>
                <v:textbox>
                  <w:txbxContent>
                    <w:p w14:paraId="0ED1FF0F">
                      <w:pPr>
                        <w:ind w:firstLine="0"/>
                        <w:rPr>
                          <w:sz w:val="18"/>
                          <w:szCs w:val="18"/>
                        </w:rPr>
                      </w:pPr>
                      <w:r>
                        <w:rPr>
                          <w:sz w:val="18"/>
                          <w:szCs w:val="18"/>
                        </w:rPr>
                        <w:t>&gt; 10.000 bp</w:t>
                      </w:r>
                    </w:p>
                  </w:txbxContent>
                </v:textbox>
              </v:shape>
            </w:pict>
          </mc:Fallback>
        </mc:AlternateContent>
      </w:r>
      <w:r>
        <w:rPr>
          <w:color w:val="000000"/>
          <w:sz w:val="20"/>
          <w:szCs w:val="20"/>
          <w:lang w:val="en-US"/>
        </w:rPr>
        <w:t xml:space="preserve">                 </w:t>
      </w:r>
      <w:r>
        <w:rPr>
          <w:color w:val="000000"/>
          <w:sz w:val="20"/>
          <w:szCs w:val="20"/>
          <w:lang w:val="en-US"/>
        </w:rPr>
        <w:drawing>
          <wp:inline distT="0" distB="0" distL="114300" distR="114300">
            <wp:extent cx="396240" cy="1724025"/>
            <wp:effectExtent l="0" t="0" r="10160"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24" cstate="print">
                      <a:extLst>
                        <a:ext uri="{28A0092B-C50C-407E-A947-70E740481C1C}">
                          <a14:useLocalDpi xmlns:a14="http://schemas.microsoft.com/office/drawing/2010/main" val="0"/>
                        </a:ext>
                      </a:extLst>
                    </a:blip>
                    <a:srcRect l="22325" r="72059"/>
                    <a:stretch>
                      <a:fillRect/>
                    </a:stretch>
                  </pic:blipFill>
                  <pic:spPr>
                    <a:xfrm>
                      <a:off x="0" y="0"/>
                      <a:ext cx="396240" cy="1724025"/>
                    </a:xfrm>
                    <a:prstGeom prst="rect">
                      <a:avLst/>
                    </a:prstGeom>
                    <a:ln>
                      <a:noFill/>
                    </a:ln>
                  </pic:spPr>
                </pic:pic>
              </a:graphicData>
            </a:graphic>
          </wp:inline>
        </w:drawing>
      </w:r>
      <w:r>
        <w:rPr>
          <w:color w:val="000000"/>
          <w:sz w:val="20"/>
          <w:szCs w:val="20"/>
          <w:lang w:val="en-US"/>
        </w:rPr>
        <w:drawing>
          <wp:inline distT="0" distB="0" distL="114300" distR="114300">
            <wp:extent cx="360680" cy="1724025"/>
            <wp:effectExtent l="0" t="0" r="127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Picture 162"/>
                    <pic:cNvPicPr>
                      <a:picLocks noChangeAspect="1"/>
                    </pic:cNvPicPr>
                  </pic:nvPicPr>
                  <pic:blipFill>
                    <a:blip r:embed="rId24" cstate="print">
                      <a:extLst>
                        <a:ext uri="{28A0092B-C50C-407E-A947-70E740481C1C}">
                          <a14:useLocalDpi xmlns:a14="http://schemas.microsoft.com/office/drawing/2010/main" val="0"/>
                        </a:ext>
                      </a:extLst>
                    </a:blip>
                    <a:srcRect l="32148" r="62730"/>
                    <a:stretch>
                      <a:fillRect/>
                    </a:stretch>
                  </pic:blipFill>
                  <pic:spPr>
                    <a:xfrm>
                      <a:off x="0" y="0"/>
                      <a:ext cx="361188" cy="1724400"/>
                    </a:xfrm>
                    <a:prstGeom prst="rect">
                      <a:avLst/>
                    </a:prstGeom>
                    <a:ln>
                      <a:noFill/>
                    </a:ln>
                  </pic:spPr>
                </pic:pic>
              </a:graphicData>
            </a:graphic>
          </wp:inline>
        </w:drawing>
      </w:r>
    </w:p>
    <w:p w14:paraId="47118F1D">
      <w:pPr>
        <w:spacing w:after="0" w:line="240" w:lineRule="auto"/>
        <w:ind w:hanging="2"/>
        <w:jc w:val="both"/>
        <w:rPr>
          <w:sz w:val="20"/>
          <w:szCs w:val="20"/>
        </w:rPr>
      </w:pPr>
      <w:r>
        <w:rPr>
          <w:b/>
          <w:color w:val="000000"/>
          <w:sz w:val="20"/>
          <w:szCs w:val="20"/>
        </w:rPr>
        <w:t xml:space="preserve">Figure 4. </w:t>
      </w:r>
      <w:r>
        <w:rPr>
          <w:color w:val="000000"/>
          <w:sz w:val="20"/>
          <w:szCs w:val="20"/>
        </w:rPr>
        <w:t>Electrophoresis results</w:t>
      </w:r>
      <w:r>
        <w:rPr>
          <w:color w:val="000000"/>
          <w:sz w:val="20"/>
          <w:szCs w:val="20"/>
          <w:lang w:val="en-US"/>
        </w:rPr>
        <w:t xml:space="preserve"> of amplification of 16S rRNA gene, </w:t>
      </w:r>
      <w:r>
        <w:rPr>
          <w:color w:val="000000"/>
          <w:sz w:val="20"/>
          <w:szCs w:val="20"/>
        </w:rPr>
        <w:t>(a) marker and marine bacteria</w:t>
      </w:r>
      <w:r>
        <w:rPr>
          <w:color w:val="000000"/>
          <w:sz w:val="20"/>
          <w:szCs w:val="20"/>
          <w:lang w:val="en-US"/>
        </w:rPr>
        <w:t xml:space="preserve"> </w:t>
      </w:r>
      <w:r>
        <w:rPr>
          <w:color w:val="000000"/>
          <w:sz w:val="20"/>
          <w:szCs w:val="20"/>
        </w:rPr>
        <w:t xml:space="preserve">(b) </w:t>
      </w:r>
      <w:r>
        <w:rPr>
          <w:sz w:val="20"/>
          <w:szCs w:val="20"/>
          <w:lang w:val="en-US"/>
        </w:rPr>
        <w:t>CM03</w:t>
      </w:r>
    </w:p>
    <w:p w14:paraId="6FAF3B3E">
      <w:pPr>
        <w:spacing w:after="0" w:line="240" w:lineRule="auto"/>
        <w:ind w:hanging="2"/>
        <w:rPr>
          <w:color w:val="000000"/>
          <w:sz w:val="20"/>
          <w:szCs w:val="20"/>
        </w:rPr>
      </w:pPr>
    </w:p>
    <w:p w14:paraId="1CDC5CD1">
      <w:pPr>
        <w:spacing w:after="0" w:line="240" w:lineRule="auto"/>
        <w:ind w:hanging="2"/>
        <w:jc w:val="both"/>
        <w:rPr>
          <w:b/>
          <w:color w:val="000000"/>
        </w:rPr>
      </w:pPr>
      <w:r>
        <w:rPr>
          <w:b/>
          <w:color w:val="000000"/>
        </w:rPr>
        <w:t xml:space="preserve">Phylogenetic Analysis </w:t>
      </w:r>
    </w:p>
    <w:p w14:paraId="2AEBE5AA">
      <w:pPr>
        <w:spacing w:after="0" w:line="240" w:lineRule="auto"/>
        <w:ind w:firstLine="220" w:firstLineChars="100"/>
        <w:jc w:val="both"/>
        <w:rPr>
          <w:color w:val="000000"/>
        </w:rPr>
      </w:pPr>
      <w:r>
        <w:rPr>
          <w:color w:val="000000"/>
        </w:rPr>
        <w:t>The DNA sequences obtained were subjected to sequencing to determine the nucleotide order, which was subsequently queried against the NCBI database</w:t>
      </w:r>
      <w:r>
        <w:rPr>
          <w:color w:val="000000"/>
          <w:lang w:val="en-US"/>
        </w:rPr>
        <w:t>,</w:t>
      </w:r>
      <w:r>
        <w:rPr>
          <w:color w:val="000000"/>
        </w:rPr>
        <w:t xml:space="preserve"> followed by sequence alignment using BioEdit. Phylogenetic trees were then constructed in MEGA11 employing the NJ method with 1,000 bootstrap replicates by comparing the sequences with those </w:t>
      </w:r>
      <w:r>
        <w:rPr>
          <w:color w:val="000000"/>
          <w:lang w:val="en-US"/>
        </w:rPr>
        <w:t xml:space="preserve">of </w:t>
      </w:r>
      <w:r>
        <w:rPr>
          <w:color w:val="000000"/>
        </w:rPr>
        <w:t xml:space="preserve">type strains within </w:t>
      </w:r>
      <w:r>
        <w:rPr>
          <w:color w:val="000000"/>
          <w:lang w:val="en-US"/>
        </w:rPr>
        <w:t xml:space="preserve">the </w:t>
      </w:r>
      <w:r>
        <w:rPr>
          <w:color w:val="000000"/>
        </w:rPr>
        <w:t xml:space="preserve">genus and an outgroup type strain. Phylogenetic analysis revealed that the isolate clustered tightly with </w:t>
      </w:r>
      <w:r>
        <w:rPr>
          <w:i/>
          <w:color w:val="000000"/>
        </w:rPr>
        <w:t>Halalkalibacter okhensis</w:t>
      </w:r>
      <w:r>
        <w:rPr>
          <w:color w:val="000000"/>
        </w:rPr>
        <w:t xml:space="preserve"> AZMABM_CM03 (accession number PV197611.1 on GenBank) with a bootstrap value of 99% (Figure 5). </w:t>
      </w:r>
    </w:p>
    <w:p w14:paraId="449231C6">
      <w:pPr>
        <w:spacing w:after="0" w:line="240" w:lineRule="auto"/>
        <w:ind w:hanging="2"/>
        <w:rPr>
          <w:color w:val="000000"/>
          <w:sz w:val="20"/>
          <w:szCs w:val="20"/>
        </w:rPr>
        <w:sectPr>
          <w:type w:val="continuous"/>
          <w:pgSz w:w="11900" w:h="16840"/>
          <w:pgMar w:top="1418" w:right="1418" w:bottom="1418" w:left="1417" w:header="706" w:footer="706" w:gutter="0"/>
          <w:pgNumType w:fmt="decimal"/>
          <w:cols w:equalWidth="0" w:num="2">
            <w:col w:w="4320" w:space="425"/>
            <w:col w:w="4320"/>
          </w:cols>
        </w:sectPr>
      </w:pPr>
    </w:p>
    <w:p w14:paraId="497FCC55">
      <w:pPr>
        <w:spacing w:after="0" w:line="240" w:lineRule="auto"/>
        <w:ind w:hanging="2"/>
        <w:rPr>
          <w:color w:val="000000"/>
          <w:sz w:val="20"/>
          <w:szCs w:val="20"/>
        </w:rPr>
      </w:pPr>
    </w:p>
    <w:p w14:paraId="246817CC">
      <w:pPr>
        <w:spacing w:after="0" w:line="240" w:lineRule="auto"/>
        <w:ind w:hanging="2"/>
        <w:rPr>
          <w:sz w:val="20"/>
          <w:szCs w:val="20"/>
          <w:lang w:val="en-US"/>
        </w:rPr>
      </w:pPr>
      <w:r>
        <w:rPr>
          <w:lang w:val="en-US"/>
        </w:rPr>
        <w:drawing>
          <wp:inline distT="0" distB="0" distL="0" distR="0">
            <wp:extent cx="5155565" cy="2889885"/>
            <wp:effectExtent l="0" t="0" r="6985" b="571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pic:cNvPicPr>
                  </pic:nvPicPr>
                  <pic:blipFill>
                    <a:blip r:embed="rId25">
                      <a:extLst>
                        <a:ext uri="{28A0092B-C50C-407E-A947-70E740481C1C}">
                          <a14:useLocalDpi xmlns:a14="http://schemas.microsoft.com/office/drawing/2010/main" val="0"/>
                        </a:ext>
                      </a:extLst>
                    </a:blip>
                    <a:srcRect l="2688" r="3018"/>
                    <a:stretch>
                      <a:fillRect/>
                    </a:stretch>
                  </pic:blipFill>
                  <pic:spPr>
                    <a:xfrm>
                      <a:off x="0" y="0"/>
                      <a:ext cx="5164678" cy="2894789"/>
                    </a:xfrm>
                    <a:prstGeom prst="rect">
                      <a:avLst/>
                    </a:prstGeom>
                    <a:ln>
                      <a:noFill/>
                    </a:ln>
                  </pic:spPr>
                </pic:pic>
              </a:graphicData>
            </a:graphic>
          </wp:inline>
        </w:drawing>
      </w:r>
      <w:r>
        <w:rPr>
          <w:sz w:val="20"/>
          <w:szCs w:val="20"/>
          <w:lang w:val="en-US"/>
        </w:rPr>
        <mc:AlternateContent>
          <mc:Choice Requires="wps">
            <w:drawing>
              <wp:anchor distT="0" distB="0" distL="114300" distR="114300" simplePos="0" relativeHeight="251659264" behindDoc="0" locked="0" layoutInCell="1" allowOverlap="1">
                <wp:simplePos x="0" y="0"/>
                <wp:positionH relativeFrom="column">
                  <wp:posOffset>1741170</wp:posOffset>
                </wp:positionH>
                <wp:positionV relativeFrom="paragraph">
                  <wp:posOffset>99695</wp:posOffset>
                </wp:positionV>
                <wp:extent cx="2268855" cy="259715"/>
                <wp:effectExtent l="0" t="0" r="17145" b="26670"/>
                <wp:wrapNone/>
                <wp:docPr id="68" name="Rectangle 68"/>
                <wp:cNvGraphicFramePr/>
                <a:graphic xmlns:a="http://schemas.openxmlformats.org/drawingml/2006/main">
                  <a:graphicData uri="http://schemas.microsoft.com/office/word/2010/wordprocessingShape">
                    <wps:wsp>
                      <wps:cNvSpPr/>
                      <wps:spPr>
                        <a:xfrm>
                          <a:off x="0" y="0"/>
                          <a:ext cx="2268855" cy="259503"/>
                        </a:xfrm>
                        <a:prstGeom prst="rect">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7.1pt;margin-top:7.85pt;height:20.45pt;width:178.65pt;z-index:251659264;v-text-anchor:middle;mso-width-relative:page;mso-height-relative:page;" filled="f" stroked="t" coordsize="21600,21600" o:gfxdata="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LT4562AAAAAkB&#10;AAAPAAAAAAAAAAEAIAAAACIAAABkcnMvZG93bnJldi54bWxQSwECFAAUAAAACACHTuJA++PWL1QC&#10;AAC4BAAADgAAAAAAAAABACAAAAAnAQAAZHJzL2Uyb0RvYy54bWxQSwUGAAAAAAYABgBZAQAA7QUA&#10;AAAA&#10;">
                <v:fill on="f" focussize="0,0"/>
                <v:stroke color="#FF0000 [3204]" joinstyle="round"/>
                <v:imagedata o:title=""/>
                <o:lock v:ext="edit" aspectratio="f"/>
              </v:rect>
            </w:pict>
          </mc:Fallback>
        </mc:AlternateContent>
      </w:r>
    </w:p>
    <w:p w14:paraId="34A7FA07">
      <w:pPr>
        <w:spacing w:after="0" w:line="240" w:lineRule="auto"/>
        <w:ind w:hanging="2"/>
        <w:rPr>
          <w:color w:val="000000"/>
          <w:sz w:val="20"/>
          <w:szCs w:val="20"/>
        </w:rPr>
      </w:pPr>
      <w:r>
        <w:rPr>
          <w:b/>
          <w:color w:val="000000"/>
          <w:sz w:val="20"/>
          <w:szCs w:val="20"/>
        </w:rPr>
        <w:t xml:space="preserve">Figure 5. </w:t>
      </w:r>
      <w:r>
        <w:rPr>
          <w:color w:val="000000"/>
          <w:sz w:val="20"/>
          <w:szCs w:val="20"/>
        </w:rPr>
        <w:t>Phylogenetic tree of CM03 based on 16s rRNA gene sequences compared to existing marine bacteria</w:t>
      </w:r>
    </w:p>
    <w:p w14:paraId="4E0590FE">
      <w:pPr>
        <w:spacing w:after="0" w:line="240" w:lineRule="auto"/>
        <w:ind w:firstLine="220" w:firstLineChars="100"/>
        <w:jc w:val="both"/>
        <w:rPr>
          <w:color w:val="000000"/>
        </w:rPr>
      </w:pPr>
    </w:p>
    <w:p w14:paraId="662D3829">
      <w:pPr>
        <w:spacing w:after="0" w:line="240" w:lineRule="auto"/>
        <w:ind w:firstLine="220" w:firstLineChars="100"/>
        <w:jc w:val="both"/>
        <w:rPr>
          <w:color w:val="000000"/>
        </w:rPr>
        <w:sectPr>
          <w:type w:val="continuous"/>
          <w:pgSz w:w="11900" w:h="16840"/>
          <w:pgMar w:top="1418" w:right="1418" w:bottom="1418" w:left="1417" w:header="706" w:footer="706" w:gutter="0"/>
          <w:pgNumType w:fmt="decimal" w:start="1"/>
          <w:cols w:space="720" w:num="1"/>
        </w:sectPr>
      </w:pPr>
    </w:p>
    <w:p w14:paraId="2D763A3B">
      <w:pPr>
        <w:spacing w:after="0" w:line="240" w:lineRule="auto"/>
        <w:ind w:firstLine="220" w:firstLineChars="100"/>
        <w:jc w:val="both"/>
        <w:rPr>
          <w:iCs/>
          <w:color w:val="000000"/>
        </w:rPr>
      </w:pPr>
      <w:r>
        <w:rPr>
          <w:color w:val="000000"/>
        </w:rPr>
        <w:t xml:space="preserve">The genus </w:t>
      </w:r>
      <w:r>
        <w:rPr>
          <w:i/>
          <w:color w:val="000000"/>
        </w:rPr>
        <w:t xml:space="preserve">Halalkalibacter </w:t>
      </w:r>
      <w:r>
        <w:rPr>
          <w:iCs/>
          <w:color w:val="000000"/>
        </w:rPr>
        <w:t xml:space="preserve">was recently established following the reclassification of </w:t>
      </w:r>
      <w:r>
        <w:rPr>
          <w:i/>
          <w:color w:val="000000"/>
        </w:rPr>
        <w:t>Alkalihalobacillus</w:t>
      </w:r>
      <w:r>
        <w:rPr>
          <w:iCs/>
          <w:color w:val="000000"/>
        </w:rPr>
        <w:t>, based on phenotypic characteristics, phylogenetic analysis</w:t>
      </w:r>
      <w:r>
        <w:rPr>
          <w:iCs/>
          <w:color w:val="000000"/>
          <w:lang w:val="en-US"/>
        </w:rPr>
        <w:t>,</w:t>
      </w:r>
      <w:r>
        <w:rPr>
          <w:iCs/>
          <w:color w:val="000000"/>
        </w:rPr>
        <w:t xml:space="preserve"> and genomic indices </w:t>
      </w:r>
      <w:r>
        <w:rPr>
          <w:color w:val="000000"/>
        </w:rPr>
        <w:t>(</w:t>
      </w:r>
      <w:r>
        <w:t xml:space="preserve">Joshi </w:t>
      </w:r>
      <w:r>
        <w:rPr>
          <w:i/>
          <w:iCs/>
        </w:rPr>
        <w:t>et al.,</w:t>
      </w:r>
      <w:r>
        <w:rPr>
          <w:lang w:val="en-US"/>
        </w:rPr>
        <w:t xml:space="preserve"> </w:t>
      </w:r>
      <w:r>
        <w:fldChar w:fldCharType="begin"/>
      </w:r>
      <w:r>
        <w:instrText xml:space="preserve"> HYPERLINK "https://link.springer.com/article/10.1007/s10482-023-01816-1" \l "ref-CR20" \o "Joshi A, Thite S, Karodi P, Joseph N, Lodha T (2021) Alkalihalobacterium elongatum gen. nov. sp. nov.: An Antibiotic-Producing Bacterium Isolated From Lonar Lake and Reclassification of the Genus Alkalihalobacillus Into Seven Novel Genera. Front Microbiol 12:7" </w:instrText>
      </w:r>
      <w:r>
        <w:fldChar w:fldCharType="separate"/>
      </w:r>
      <w:r>
        <w:rPr>
          <w:rStyle w:val="22"/>
          <w:color w:val="auto"/>
          <w:position w:val="0"/>
          <w:u w:val="none"/>
        </w:rPr>
        <w:t>2021</w:t>
      </w:r>
      <w:r>
        <w:rPr>
          <w:rStyle w:val="22"/>
          <w:color w:val="auto"/>
          <w:position w:val="0"/>
          <w:u w:val="none"/>
        </w:rPr>
        <w:fldChar w:fldCharType="end"/>
      </w:r>
      <w:r>
        <w:rPr>
          <w:color w:val="000000"/>
        </w:rPr>
        <w:t>)</w:t>
      </w:r>
      <w:r>
        <w:rPr>
          <w:iCs/>
          <w:color w:val="000000"/>
        </w:rPr>
        <w:t xml:space="preserve">. Research conducted by Khrisna </w:t>
      </w:r>
      <w:r>
        <w:rPr>
          <w:i/>
          <w:color w:val="000000"/>
        </w:rPr>
        <w:t>et al.</w:t>
      </w:r>
      <w:r>
        <w:rPr>
          <w:iCs/>
          <w:color w:val="000000"/>
        </w:rPr>
        <w:t xml:space="preserve"> (2021) demonstrated that the genome of </w:t>
      </w:r>
      <w:r>
        <w:rPr>
          <w:i/>
          <w:color w:val="000000"/>
        </w:rPr>
        <w:t xml:space="preserve">H. okhensis </w:t>
      </w:r>
      <w:r>
        <w:rPr>
          <w:iCs/>
          <w:color w:val="000000"/>
        </w:rPr>
        <w:t>Kh10-101</w:t>
      </w:r>
      <w:r>
        <w:rPr>
          <w:iCs/>
          <w:color w:val="000000"/>
          <w:vertAlign w:val="superscript"/>
        </w:rPr>
        <w:t>T</w:t>
      </w:r>
      <w:r>
        <w:rPr>
          <w:iCs/>
          <w:color w:val="000000"/>
        </w:rPr>
        <w:t xml:space="preserve"> contains a cluster of ectoine biosynthesis genes. Multiple studies indicate that ectoine contributes to the inhibition of biofilm formation by reducing bacterial adhesion and enhancing surface stability. Its hydration-enhancing effect can reduce the pathogenic bacteria colonization, thereby impeding the initiation of biofilm development. In addition, ectoine exhibits anti</w:t>
      </w:r>
      <w:r>
        <w:rPr>
          <w:iCs/>
          <w:color w:val="000000"/>
          <w:lang w:val="en-US"/>
        </w:rPr>
        <w:t>-</w:t>
      </w:r>
      <w:r>
        <w:rPr>
          <w:iCs/>
          <w:color w:val="000000"/>
        </w:rPr>
        <w:t xml:space="preserve">inflamatory properties, which suppress environmental conditions that facilitate biofilm establishment (Bilstein </w:t>
      </w:r>
      <w:r>
        <w:rPr>
          <w:i/>
          <w:color w:val="000000"/>
        </w:rPr>
        <w:t>et al.,</w:t>
      </w:r>
      <w:r>
        <w:rPr>
          <w:iCs/>
          <w:color w:val="000000"/>
        </w:rPr>
        <w:t xml:space="preserve"> 2021; Simbara </w:t>
      </w:r>
      <w:r>
        <w:rPr>
          <w:i/>
          <w:color w:val="000000"/>
        </w:rPr>
        <w:t>et al.,</w:t>
      </w:r>
      <w:r>
        <w:rPr>
          <w:iCs/>
          <w:color w:val="000000"/>
        </w:rPr>
        <w:t xml:space="preserve"> 2025). Another study on</w:t>
      </w:r>
      <w:r>
        <w:rPr>
          <w:iCs/>
          <w:color w:val="000000"/>
          <w:lang w:val="en-US"/>
        </w:rPr>
        <w:t xml:space="preserve"> </w:t>
      </w:r>
      <w:r>
        <w:rPr>
          <w:i/>
          <w:color w:val="000000"/>
        </w:rPr>
        <w:t xml:space="preserve">H. okhensis </w:t>
      </w:r>
      <w:r>
        <w:rPr>
          <w:iCs/>
          <w:color w:val="000000"/>
        </w:rPr>
        <w:t>Kh10-101</w:t>
      </w:r>
      <w:r>
        <w:rPr>
          <w:iCs/>
          <w:color w:val="000000"/>
          <w:vertAlign w:val="superscript"/>
        </w:rPr>
        <w:t>T</w:t>
      </w:r>
      <w:r>
        <w:rPr>
          <w:iCs/>
          <w:color w:val="000000"/>
        </w:rPr>
        <w:t xml:space="preserve"> reported that this strain also produces a high-alkaline subtilisin (</w:t>
      </w:r>
      <w:r>
        <w:rPr>
          <w:color w:val="000000"/>
        </w:rPr>
        <w:t>Falkenberg</w:t>
      </w:r>
      <w:r>
        <w:rPr>
          <w:iCs/>
          <w:color w:val="000000"/>
        </w:rPr>
        <w:t xml:space="preserve"> </w:t>
      </w:r>
      <w:r>
        <w:rPr>
          <w:i/>
          <w:color w:val="000000"/>
        </w:rPr>
        <w:t>et al.,</w:t>
      </w:r>
      <w:r>
        <w:rPr>
          <w:iCs/>
          <w:color w:val="000000"/>
        </w:rPr>
        <w:t xml:space="preserve"> 2022). </w:t>
      </w:r>
      <w:r>
        <w:rPr>
          <w:color w:val="000000"/>
        </w:rPr>
        <w:t>Subtilisins, a family of alkaline serine endoproteases, have the potential to be used as antimicrobial as well as antibiofilm agents. Recent studies have demonstrated that these enzyme</w:t>
      </w:r>
      <w:r>
        <w:rPr>
          <w:color w:val="000000"/>
          <w:lang w:val="en-US"/>
        </w:rPr>
        <w:t>s</w:t>
      </w:r>
      <w:r>
        <w:rPr>
          <w:color w:val="000000"/>
        </w:rPr>
        <w:t xml:space="preserve"> act through degrading adhesion protein</w:t>
      </w:r>
      <w:r>
        <w:rPr>
          <w:color w:val="000000"/>
          <w:lang w:val="en-US"/>
        </w:rPr>
        <w:t>s</w:t>
      </w:r>
      <w:r>
        <w:rPr>
          <w:color w:val="000000"/>
        </w:rPr>
        <w:t xml:space="preserve"> and EPS matrix in</w:t>
      </w:r>
      <w:r>
        <w:rPr>
          <w:color w:val="000000"/>
          <w:lang w:val="en-US"/>
        </w:rPr>
        <w:t xml:space="preserve"> </w:t>
      </w:r>
      <w:r>
        <w:rPr>
          <w:i/>
        </w:rPr>
        <w:t>E. coli</w:t>
      </w:r>
      <w:r>
        <w:t xml:space="preserve">, </w:t>
      </w:r>
      <w:r>
        <w:rPr>
          <w:i/>
        </w:rPr>
        <w:t>P. aeruginosa</w:t>
      </w:r>
      <w:r>
        <w:t xml:space="preserve">, </w:t>
      </w:r>
      <w:r>
        <w:rPr>
          <w:iCs/>
        </w:rPr>
        <w:t>and</w:t>
      </w:r>
      <w:r>
        <w:t xml:space="preserve"> </w:t>
      </w:r>
      <w:r>
        <w:rPr>
          <w:i/>
        </w:rPr>
        <w:t xml:space="preserve">S. aureus, </w:t>
      </w:r>
      <w:r>
        <w:rPr>
          <w:iCs/>
        </w:rPr>
        <w:t>resulting in decrease</w:t>
      </w:r>
      <w:r>
        <w:rPr>
          <w:iCs/>
          <w:lang w:val="en-US"/>
        </w:rPr>
        <w:t>d</w:t>
      </w:r>
      <w:r>
        <w:rPr>
          <w:iCs/>
        </w:rPr>
        <w:t xml:space="preserve"> bacterial adherence and interfering </w:t>
      </w:r>
      <w:r>
        <w:rPr>
          <w:iCs/>
          <w:lang w:val="en-US"/>
        </w:rPr>
        <w:t xml:space="preserve">with </w:t>
      </w:r>
      <w:r>
        <w:rPr>
          <w:iCs/>
        </w:rPr>
        <w:t xml:space="preserve">quorum sensing (Gu </w:t>
      </w:r>
      <w:r>
        <w:rPr>
          <w:i/>
        </w:rPr>
        <w:t>et al.,</w:t>
      </w:r>
      <w:r>
        <w:rPr>
          <w:iCs/>
        </w:rPr>
        <w:t xml:space="preserve"> 2025). Subtilisin also decrease</w:t>
      </w:r>
      <w:r>
        <w:rPr>
          <w:iCs/>
          <w:lang w:val="en-US"/>
        </w:rPr>
        <w:t>s</w:t>
      </w:r>
      <w:r>
        <w:rPr>
          <w:iCs/>
        </w:rPr>
        <w:t xml:space="preserve"> biofilm thickness and disrupt</w:t>
      </w:r>
      <w:r>
        <w:rPr>
          <w:iCs/>
          <w:lang w:val="en-US"/>
        </w:rPr>
        <w:t>s</w:t>
      </w:r>
      <w:r>
        <w:rPr>
          <w:iCs/>
        </w:rPr>
        <w:t xml:space="preserve"> biofilm</w:t>
      </w:r>
      <w:r>
        <w:rPr>
          <w:iCs/>
          <w:lang w:val="en-US"/>
        </w:rPr>
        <w:t xml:space="preserve"> </w:t>
      </w:r>
      <w:r>
        <w:rPr>
          <w:iCs/>
        </w:rPr>
        <w:t xml:space="preserve">structural integrity, which enhances antibiotic susceptibility (Liu </w:t>
      </w:r>
      <w:r>
        <w:rPr>
          <w:i/>
        </w:rPr>
        <w:t>et al.,</w:t>
      </w:r>
      <w:r>
        <w:rPr>
          <w:iCs/>
        </w:rPr>
        <w:t xml:space="preserve"> 2021). Research on catheter-derived </w:t>
      </w:r>
      <w:r>
        <w:rPr>
          <w:i/>
        </w:rPr>
        <w:t xml:space="preserve">P. </w:t>
      </w:r>
      <w:r>
        <w:rPr>
          <w:i/>
          <w:lang w:val="en-US"/>
        </w:rPr>
        <w:t>a</w:t>
      </w:r>
      <w:r>
        <w:rPr>
          <w:i/>
        </w:rPr>
        <w:t>eruginosa</w:t>
      </w:r>
      <w:r>
        <w:rPr>
          <w:iCs/>
        </w:rPr>
        <w:t xml:space="preserve"> strain further indicated that subtilisin has potential applications in the ma</w:t>
      </w:r>
      <w:r>
        <w:rPr>
          <w:iCs/>
          <w:lang w:val="en-US"/>
        </w:rPr>
        <w:t>na</w:t>
      </w:r>
      <w:r>
        <w:rPr>
          <w:iCs/>
        </w:rPr>
        <w:t xml:space="preserve">gement of medical device-associated infections (Kabanov </w:t>
      </w:r>
      <w:r>
        <w:rPr>
          <w:i/>
        </w:rPr>
        <w:t>et al.,</w:t>
      </w:r>
      <w:r>
        <w:rPr>
          <w:iCs/>
        </w:rPr>
        <w:t xml:space="preserve"> 2019). These findings suggest that marine bacteria, particularly </w:t>
      </w:r>
      <w:r>
        <w:rPr>
          <w:i/>
          <w:color w:val="000000"/>
        </w:rPr>
        <w:t>H. okhensis</w:t>
      </w:r>
      <w:r>
        <w:rPr>
          <w:iCs/>
          <w:color w:val="000000"/>
        </w:rPr>
        <w:t>, represent promising sources of antibiofilm compounds.</w:t>
      </w:r>
    </w:p>
    <w:p w14:paraId="500D1829">
      <w:pPr>
        <w:spacing w:after="0" w:line="240" w:lineRule="auto"/>
        <w:ind w:hanging="2"/>
        <w:rPr>
          <w:sz w:val="20"/>
          <w:szCs w:val="20"/>
        </w:rPr>
      </w:pPr>
    </w:p>
    <w:p w14:paraId="2AF1E276">
      <w:pPr>
        <w:spacing w:after="0" w:line="240" w:lineRule="auto"/>
        <w:ind w:hanging="2"/>
        <w:rPr>
          <w:sz w:val="20"/>
          <w:szCs w:val="20"/>
        </w:rPr>
      </w:pPr>
    </w:p>
    <w:p w14:paraId="4FACDDA2">
      <w:pPr>
        <w:spacing w:after="0" w:line="240" w:lineRule="auto"/>
        <w:ind w:hanging="2"/>
        <w:rPr>
          <w:sz w:val="24"/>
          <w:szCs w:val="24"/>
        </w:rPr>
      </w:pPr>
      <w:r>
        <w:rPr>
          <w:b/>
          <w:sz w:val="24"/>
          <w:szCs w:val="24"/>
        </w:rPr>
        <w:t>Conclusions</w:t>
      </w:r>
    </w:p>
    <w:p w14:paraId="0A58E11B">
      <w:pPr>
        <w:spacing w:after="0" w:line="240" w:lineRule="auto"/>
        <w:ind w:hanging="2"/>
        <w:rPr>
          <w:sz w:val="20"/>
          <w:szCs w:val="20"/>
        </w:rPr>
      </w:pPr>
    </w:p>
    <w:p w14:paraId="37E911DE">
      <w:pPr>
        <w:spacing w:after="0" w:line="240" w:lineRule="auto"/>
        <w:ind w:firstLine="220"/>
        <w:jc w:val="both"/>
        <w:rPr>
          <w:lang w:val="en-US"/>
        </w:rPr>
      </w:pPr>
      <w:r>
        <w:t xml:space="preserve">This study demonstrated that secondary metabolites from symbiotic bacteria from </w:t>
      </w:r>
      <w:r>
        <w:rPr>
          <w:i/>
          <w:iCs/>
        </w:rPr>
        <w:t>H. magnifica</w:t>
      </w:r>
      <w:r>
        <w:t xml:space="preserve"> posse</w:t>
      </w:r>
      <w:r>
        <w:rPr>
          <w:lang w:val="en-US"/>
        </w:rPr>
        <w:t>s</w:t>
      </w:r>
      <w:r>
        <w:t>s antibiofilm activity, which depend</w:t>
      </w:r>
      <w:r>
        <w:rPr>
          <w:lang w:val="en-US"/>
        </w:rPr>
        <w:t xml:space="preserve"> </w:t>
      </w:r>
      <w:r>
        <w:t>on the bacteria</w:t>
      </w:r>
      <w:r>
        <w:rPr>
          <w:lang w:val="en-US"/>
        </w:rPr>
        <w:t>l</w:t>
      </w:r>
      <w:r>
        <w:t xml:space="preserve"> strain and the target pathogen. The 50-hour metabolites of CM03, identified as </w:t>
      </w:r>
      <w:r>
        <w:rPr>
          <w:i/>
        </w:rPr>
        <w:t>H. okhensis</w:t>
      </w:r>
      <w:r>
        <w:t xml:space="preserve"> through phylogenetic analysis, exhibit the broadest and most potent inhibitory activity, underscoring </w:t>
      </w:r>
      <w:r>
        <w:rPr>
          <w:lang w:val="en-US"/>
        </w:rPr>
        <w:t>their</w:t>
      </w:r>
      <w:r>
        <w:t xml:space="preserve"> potential as antibiofilm agents.</w:t>
      </w:r>
      <w:r>
        <w:rPr>
          <w:lang w:val="en-US"/>
        </w:rPr>
        <w:t xml:space="preserve"> </w:t>
      </w:r>
    </w:p>
    <w:p w14:paraId="369FCD92">
      <w:pPr>
        <w:spacing w:after="0" w:line="240" w:lineRule="auto"/>
        <w:ind w:firstLine="720"/>
        <w:jc w:val="both"/>
        <w:rPr>
          <w:iCs/>
          <w:color w:val="000000"/>
        </w:rPr>
      </w:pPr>
    </w:p>
    <w:p w14:paraId="567816D6">
      <w:pPr>
        <w:spacing w:after="0" w:line="240" w:lineRule="auto"/>
        <w:ind w:firstLine="0"/>
        <w:jc w:val="both"/>
        <w:rPr>
          <w:b/>
          <w:sz w:val="24"/>
          <w:szCs w:val="24"/>
        </w:rPr>
      </w:pPr>
      <w:r>
        <w:rPr>
          <w:b/>
          <w:sz w:val="24"/>
          <w:szCs w:val="24"/>
        </w:rPr>
        <w:t>Conflict of Interest</w:t>
      </w:r>
    </w:p>
    <w:p w14:paraId="469E0144">
      <w:pPr>
        <w:spacing w:after="0" w:line="240" w:lineRule="auto"/>
        <w:ind w:firstLine="0"/>
        <w:jc w:val="both"/>
        <w:rPr>
          <w:b/>
          <w:sz w:val="24"/>
          <w:szCs w:val="24"/>
        </w:rPr>
      </w:pPr>
    </w:p>
    <w:p w14:paraId="6C404C43">
      <w:pPr>
        <w:spacing w:after="0" w:line="240" w:lineRule="auto"/>
        <w:ind w:firstLine="0"/>
        <w:jc w:val="both"/>
        <w:rPr>
          <w:bCs/>
        </w:rPr>
      </w:pPr>
      <w:r>
        <w:rPr>
          <w:bCs/>
        </w:rPr>
        <w:t>I have nothing to declare.</w:t>
      </w:r>
    </w:p>
    <w:p w14:paraId="4893423F">
      <w:pPr>
        <w:spacing w:after="0" w:line="240" w:lineRule="auto"/>
        <w:ind w:firstLine="0"/>
        <w:jc w:val="both"/>
        <w:rPr>
          <w:bCs/>
        </w:rPr>
      </w:pPr>
    </w:p>
    <w:p w14:paraId="2BD71159">
      <w:pPr>
        <w:spacing w:after="0" w:line="240" w:lineRule="auto"/>
        <w:ind w:firstLine="0"/>
        <w:jc w:val="both"/>
        <w:rPr>
          <w:b/>
          <w:sz w:val="24"/>
          <w:szCs w:val="24"/>
        </w:rPr>
      </w:pPr>
      <w:r>
        <w:rPr>
          <w:b/>
          <w:sz w:val="24"/>
          <w:szCs w:val="24"/>
        </w:rPr>
        <w:t>Funding</w:t>
      </w:r>
    </w:p>
    <w:p w14:paraId="664457F9">
      <w:pPr>
        <w:spacing w:after="0" w:line="240" w:lineRule="auto"/>
        <w:ind w:firstLine="0"/>
        <w:jc w:val="both"/>
        <w:rPr>
          <w:bCs/>
        </w:rPr>
      </w:pPr>
    </w:p>
    <w:p w14:paraId="77EEE6C8">
      <w:pPr>
        <w:spacing w:after="0" w:line="240" w:lineRule="auto"/>
        <w:ind w:firstLine="220" w:firstLineChars="100"/>
        <w:jc w:val="both"/>
        <w:rPr>
          <w:iCs/>
        </w:rPr>
      </w:pPr>
      <w:r>
        <w:rPr>
          <w:iCs/>
        </w:rPr>
        <w:t xml:space="preserve">This work was partly supported by DIPA Organisasi Riset Hayati dan Lingkungan, </w:t>
      </w:r>
      <w:r>
        <w:rPr>
          <w:bCs/>
          <w:iCs/>
          <w:color w:val="000000"/>
        </w:rPr>
        <w:t xml:space="preserve">BRIN </w:t>
      </w:r>
      <w:r>
        <w:rPr>
          <w:iCs/>
        </w:rPr>
        <w:t>2025 (grant numbers RP3.2.13 and RP3.2.3_Batch3).</w:t>
      </w:r>
    </w:p>
    <w:p w14:paraId="418ADC88">
      <w:pPr>
        <w:spacing w:after="0" w:line="240" w:lineRule="auto"/>
        <w:ind w:firstLine="0"/>
        <w:jc w:val="both"/>
        <w:rPr>
          <w:bCs/>
          <w:iCs/>
        </w:rPr>
      </w:pPr>
    </w:p>
    <w:p w14:paraId="0D390B57">
      <w:pPr>
        <w:spacing w:after="0" w:line="240" w:lineRule="auto"/>
        <w:ind w:firstLine="0"/>
        <w:jc w:val="both"/>
        <w:rPr>
          <w:bCs/>
          <w:iCs/>
        </w:rPr>
      </w:pPr>
    </w:p>
    <w:p w14:paraId="1C9F03D1">
      <w:pPr>
        <w:spacing w:after="0" w:line="240" w:lineRule="auto"/>
        <w:ind w:firstLine="0"/>
        <w:jc w:val="both"/>
        <w:rPr>
          <w:b/>
          <w:sz w:val="24"/>
          <w:szCs w:val="24"/>
        </w:rPr>
      </w:pPr>
      <w:r>
        <w:rPr>
          <w:b/>
          <w:sz w:val="24"/>
          <w:szCs w:val="24"/>
        </w:rPr>
        <w:t>Author contribution</w:t>
      </w:r>
    </w:p>
    <w:p w14:paraId="113BEAC7">
      <w:pPr>
        <w:spacing w:after="0" w:line="240" w:lineRule="auto"/>
        <w:ind w:firstLine="0"/>
        <w:jc w:val="both"/>
        <w:rPr>
          <w:bCs/>
        </w:rPr>
      </w:pPr>
    </w:p>
    <w:p w14:paraId="14222A12">
      <w:pPr>
        <w:spacing w:after="0" w:line="240" w:lineRule="auto"/>
        <w:ind w:firstLine="220" w:firstLineChars="100"/>
        <w:jc w:val="both"/>
        <w:rPr>
          <w:bCs/>
        </w:rPr>
      </w:pPr>
      <w:r>
        <w:rPr>
          <w:b w:val="0"/>
          <w:bCs/>
        </w:rPr>
        <w:t>K</w:t>
      </w:r>
      <w:r>
        <w:rPr>
          <w:b w:val="0"/>
          <w:bCs/>
          <w:lang w:val="en-US"/>
        </w:rPr>
        <w:t>S</w:t>
      </w:r>
      <w:r>
        <w:rPr>
          <w:b w:val="0"/>
          <w:bCs/>
        </w:rPr>
        <w:t>: Writing – original draft, Visualization, Investigation, Formal analysis. E</w:t>
      </w:r>
      <w:r>
        <w:rPr>
          <w:b w:val="0"/>
          <w:bCs/>
          <w:lang w:val="en-US"/>
        </w:rPr>
        <w:t>N</w:t>
      </w:r>
      <w:r>
        <w:rPr>
          <w:b w:val="0"/>
          <w:bCs/>
        </w:rPr>
        <w:t>: Conceptualization, Data curation, Supervision, Funding acquisition, Writing – review &amp; editing. S</w:t>
      </w:r>
      <w:r>
        <w:rPr>
          <w:b w:val="0"/>
          <w:bCs/>
          <w:lang w:val="en-US"/>
        </w:rPr>
        <w:t>F</w:t>
      </w:r>
      <w:r>
        <w:rPr>
          <w:b w:val="0"/>
          <w:bCs/>
        </w:rPr>
        <w:t>: S</w:t>
      </w:r>
      <w:r>
        <w:rPr>
          <w:bCs/>
        </w:rPr>
        <w:t>upervision, Methodology, Data curation.</w:t>
      </w:r>
    </w:p>
    <w:p w14:paraId="4047EE82">
      <w:pPr>
        <w:spacing w:after="0" w:line="240" w:lineRule="auto"/>
        <w:ind w:firstLine="0"/>
        <w:jc w:val="both"/>
        <w:rPr>
          <w:bCs/>
        </w:rPr>
      </w:pPr>
    </w:p>
    <w:p w14:paraId="5D1B3BD7">
      <w:pPr>
        <w:spacing w:after="0" w:line="240" w:lineRule="auto"/>
        <w:ind w:firstLine="0"/>
        <w:jc w:val="both"/>
        <w:rPr>
          <w:bCs/>
        </w:rPr>
      </w:pPr>
    </w:p>
    <w:p w14:paraId="458E050E">
      <w:pPr>
        <w:spacing w:after="0" w:line="240" w:lineRule="auto"/>
        <w:ind w:firstLine="0"/>
        <w:jc w:val="both"/>
        <w:rPr>
          <w:b/>
          <w:sz w:val="24"/>
          <w:szCs w:val="24"/>
        </w:rPr>
      </w:pPr>
      <w:r>
        <w:rPr>
          <w:b/>
          <w:sz w:val="24"/>
          <w:szCs w:val="24"/>
        </w:rPr>
        <w:t>Acknowledgements</w:t>
      </w:r>
    </w:p>
    <w:p w14:paraId="1898CCFB">
      <w:pPr>
        <w:spacing w:after="0" w:line="240" w:lineRule="auto"/>
        <w:ind w:firstLine="0"/>
        <w:jc w:val="both"/>
        <w:rPr>
          <w:bCs/>
          <w:iCs/>
          <w:color w:val="000000"/>
        </w:rPr>
      </w:pPr>
    </w:p>
    <w:p w14:paraId="3EF4F3F3">
      <w:pPr>
        <w:spacing w:after="0" w:line="240" w:lineRule="auto"/>
        <w:ind w:firstLine="220" w:firstLineChars="100"/>
        <w:jc w:val="both"/>
        <w:rPr>
          <w:bCs/>
          <w:iCs/>
          <w:color w:val="000000"/>
        </w:rPr>
      </w:pPr>
      <w:r>
        <w:rPr>
          <w:bCs/>
          <w:iCs/>
          <w:color w:val="000000"/>
        </w:rPr>
        <w:t>The authors would like to thank A.</w:t>
      </w:r>
      <w:r>
        <w:rPr>
          <w:bCs/>
          <w:iCs/>
          <w:color w:val="000000"/>
          <w:lang w:val="en-US"/>
        </w:rPr>
        <w:t xml:space="preserve"> </w:t>
      </w:r>
      <w:r>
        <w:rPr>
          <w:bCs/>
          <w:iCs/>
          <w:color w:val="000000"/>
        </w:rPr>
        <w:t>Zaenal Mustopa (Research Center for Genetic Eng</w:t>
      </w:r>
      <w:r>
        <w:rPr>
          <w:bCs/>
          <w:iCs/>
          <w:color w:val="000000"/>
          <w:lang w:val="en-US"/>
        </w:rPr>
        <w:t>i</w:t>
      </w:r>
      <w:r>
        <w:rPr>
          <w:bCs/>
          <w:iCs/>
          <w:color w:val="000000"/>
        </w:rPr>
        <w:t>n</w:t>
      </w:r>
      <w:r>
        <w:rPr>
          <w:bCs/>
          <w:iCs/>
          <w:color w:val="000000"/>
          <w:lang w:val="en-US"/>
        </w:rPr>
        <w:t>e</w:t>
      </w:r>
      <w:r>
        <w:rPr>
          <w:bCs/>
          <w:iCs/>
          <w:color w:val="000000"/>
        </w:rPr>
        <w:t xml:space="preserve">ering, BRIN) and A.B. Manguntungi (Universitas Sulawesi Barat) for providing the bacterial samples associated with the </w:t>
      </w:r>
      <w:r>
        <w:rPr>
          <w:bCs/>
          <w:i/>
          <w:color w:val="000000"/>
        </w:rPr>
        <w:t>H. magnifica</w:t>
      </w:r>
      <w:r>
        <w:rPr>
          <w:bCs/>
          <w:i/>
          <w:color w:val="000000"/>
          <w:lang w:val="en-US"/>
        </w:rPr>
        <w:t>,</w:t>
      </w:r>
      <w:r>
        <w:rPr>
          <w:bCs/>
          <w:iCs/>
          <w:color w:val="000000"/>
        </w:rPr>
        <w:t xml:space="preserve"> and technical support and facilities from BRIN.</w:t>
      </w:r>
    </w:p>
    <w:p w14:paraId="34499536">
      <w:pPr>
        <w:spacing w:after="0" w:line="240" w:lineRule="auto"/>
        <w:ind w:firstLine="0"/>
        <w:jc w:val="both"/>
        <w:rPr>
          <w:iCs/>
          <w:color w:val="000000"/>
        </w:rPr>
      </w:pPr>
    </w:p>
    <w:p w14:paraId="1FBC6E8E">
      <w:pPr>
        <w:spacing w:after="0" w:line="240" w:lineRule="auto"/>
        <w:ind w:firstLine="0"/>
        <w:jc w:val="both"/>
        <w:rPr>
          <w:iCs/>
          <w:color w:val="000000"/>
        </w:rPr>
      </w:pPr>
    </w:p>
    <w:p w14:paraId="1F1609BE">
      <w:pPr>
        <w:spacing w:after="0" w:line="240" w:lineRule="auto"/>
        <w:ind w:hanging="2"/>
        <w:rPr>
          <w:color w:val="000000"/>
          <w:sz w:val="24"/>
          <w:szCs w:val="24"/>
        </w:rPr>
      </w:pPr>
      <w:bookmarkStart w:id="4" w:name="_heading=h.2et92p0" w:colFirst="0" w:colLast="0"/>
      <w:bookmarkEnd w:id="4"/>
      <w:r>
        <w:rPr>
          <w:b/>
          <w:color w:val="000000"/>
          <w:sz w:val="24"/>
          <w:szCs w:val="24"/>
        </w:rPr>
        <w:t>References</w:t>
      </w:r>
    </w:p>
    <w:p w14:paraId="7C3C431E">
      <w:pPr>
        <w:spacing w:after="0" w:line="240" w:lineRule="auto"/>
        <w:ind w:hanging="2"/>
        <w:jc w:val="both"/>
        <w:rPr>
          <w:color w:val="000000"/>
          <w:sz w:val="20"/>
          <w:szCs w:val="20"/>
        </w:rPr>
      </w:pPr>
    </w:p>
    <w:p w14:paraId="4B57758F">
      <w:pPr>
        <w:widowControl w:val="0"/>
        <w:autoSpaceDE w:val="0"/>
        <w:autoSpaceDN w:val="0"/>
        <w:adjustRightInd w:val="0"/>
        <w:spacing w:after="0" w:line="240" w:lineRule="auto"/>
        <w:ind w:left="220" w:hanging="220" w:hangingChars="110"/>
        <w:jc w:val="both"/>
        <w:rPr>
          <w:sz w:val="20"/>
          <w:szCs w:val="24"/>
          <w:lang w:val="en-US"/>
        </w:rPr>
      </w:pPr>
      <w:r>
        <w:rPr>
          <w:sz w:val="20"/>
          <w:szCs w:val="20"/>
        </w:rPr>
        <w:fldChar w:fldCharType="begin" w:fldLock="1"/>
      </w:r>
      <w:r>
        <w:rPr>
          <w:sz w:val="20"/>
          <w:szCs w:val="20"/>
        </w:rPr>
        <w:instrText xml:space="preserve">ADDIN Mendeley Bibliography CSL_BIBLIOGRAPHY </w:instrText>
      </w:r>
      <w:r>
        <w:rPr>
          <w:sz w:val="20"/>
          <w:szCs w:val="20"/>
        </w:rPr>
        <w:fldChar w:fldCharType="separate"/>
      </w:r>
      <w:r>
        <w:rPr>
          <w:sz w:val="20"/>
          <w:szCs w:val="24"/>
        </w:rPr>
        <w:t xml:space="preserve">Abdillah, L. N., Suryanto, D., Nurtjahja, K., &amp; Mamangkey, J. (2024). Preliminary Study on Potential Bacterial Species Introducing Antibacterial Agent from Sponge in Unggeh Island Central Tapanuli, Indonesia. </w:t>
      </w:r>
      <w:r>
        <w:rPr>
          <w:i/>
          <w:iCs/>
          <w:sz w:val="20"/>
          <w:szCs w:val="24"/>
        </w:rPr>
        <w:t>Jurnal Penelitian Pendidikan IPA</w:t>
      </w:r>
      <w:r>
        <w:rPr>
          <w:sz w:val="20"/>
          <w:szCs w:val="24"/>
        </w:rPr>
        <w:t xml:space="preserve">, </w:t>
      </w:r>
      <w:r>
        <w:rPr>
          <w:i/>
          <w:iCs/>
          <w:sz w:val="20"/>
          <w:szCs w:val="24"/>
        </w:rPr>
        <w:t>10</w:t>
      </w:r>
      <w:r>
        <w:rPr>
          <w:sz w:val="20"/>
          <w:szCs w:val="24"/>
        </w:rPr>
        <w:t>(7), 3780–3786. https://doi.org/10.29303/JPPIPA.V10I7.826</w:t>
      </w:r>
      <w:r>
        <w:rPr>
          <w:sz w:val="20"/>
          <w:szCs w:val="24"/>
          <w:lang w:val="en-US"/>
        </w:rPr>
        <w:t>4</w:t>
      </w:r>
    </w:p>
    <w:p w14:paraId="1FE3679D">
      <w:pPr>
        <w:widowControl w:val="0"/>
        <w:autoSpaceDE w:val="0"/>
        <w:autoSpaceDN w:val="0"/>
        <w:adjustRightInd w:val="0"/>
        <w:spacing w:after="0" w:line="240" w:lineRule="auto"/>
        <w:ind w:left="220" w:hanging="220" w:hangingChars="110"/>
        <w:jc w:val="both"/>
        <w:rPr>
          <w:sz w:val="20"/>
          <w:szCs w:val="24"/>
        </w:rPr>
      </w:pPr>
      <w:r>
        <w:rPr>
          <w:sz w:val="20"/>
          <w:szCs w:val="24"/>
        </w:rPr>
        <w:t xml:space="preserve">Alencar de Barros, K. M., Sardi, J. de C. O., Maria-Neto, S., Macedo, A. J., Ramalho, S. R., Lourenço de Oliveira, D. G., Pontes, G. S., Weber, S. S., Ramalho de Oliveira, C. F., &amp; Macedo, M. L. R. (2021). A new Kunitz trypsin inhibitor from </w:t>
      </w:r>
      <w:r>
        <w:rPr>
          <w:i/>
          <w:sz w:val="20"/>
          <w:szCs w:val="24"/>
        </w:rPr>
        <w:t>Erythrina poeppigiana</w:t>
      </w:r>
      <w:r>
        <w:rPr>
          <w:sz w:val="20"/>
          <w:szCs w:val="24"/>
        </w:rPr>
        <w:t xml:space="preserve"> exhibits antimicrobial and antibiofilm properties against bacteria. </w:t>
      </w:r>
      <w:r>
        <w:rPr>
          <w:i/>
          <w:iCs/>
          <w:sz w:val="20"/>
          <w:szCs w:val="24"/>
        </w:rPr>
        <w:t>Biomedicine &amp; Pharmacotherapy</w:t>
      </w:r>
      <w:r>
        <w:rPr>
          <w:sz w:val="20"/>
          <w:szCs w:val="24"/>
        </w:rPr>
        <w:t xml:space="preserve">, </w:t>
      </w:r>
      <w:r>
        <w:rPr>
          <w:i/>
          <w:iCs/>
          <w:sz w:val="20"/>
          <w:szCs w:val="24"/>
        </w:rPr>
        <w:t>144</w:t>
      </w:r>
      <w:r>
        <w:rPr>
          <w:sz w:val="20"/>
          <w:szCs w:val="24"/>
        </w:rPr>
        <w:t>, 112198. https://doi.org/10.1016/J.BIOPHA.2021.112198</w:t>
      </w:r>
    </w:p>
    <w:p w14:paraId="6F844A03">
      <w:pPr>
        <w:widowControl w:val="0"/>
        <w:autoSpaceDE w:val="0"/>
        <w:autoSpaceDN w:val="0"/>
        <w:adjustRightInd w:val="0"/>
        <w:spacing w:after="0" w:line="240" w:lineRule="auto"/>
        <w:ind w:left="220" w:hanging="220" w:hangingChars="110"/>
        <w:jc w:val="both"/>
        <w:rPr>
          <w:sz w:val="20"/>
          <w:szCs w:val="24"/>
        </w:rPr>
      </w:pPr>
      <w:r>
        <w:rPr>
          <w:sz w:val="20"/>
          <w:szCs w:val="24"/>
        </w:rPr>
        <w:t xml:space="preserve">Andryukov, B., Mikhailov, V., &amp; Besednova, N. (2019). The Biotechnological Potential of Secondary Metabolites from Marine Bacteria. </w:t>
      </w:r>
      <w:r>
        <w:rPr>
          <w:i/>
          <w:iCs/>
          <w:sz w:val="20"/>
          <w:szCs w:val="24"/>
        </w:rPr>
        <w:t>Journal of Marine Science and Engineering</w:t>
      </w:r>
      <w:r>
        <w:rPr>
          <w:sz w:val="20"/>
          <w:szCs w:val="24"/>
        </w:rPr>
        <w:t xml:space="preserve">, </w:t>
      </w:r>
      <w:r>
        <w:rPr>
          <w:i/>
          <w:iCs/>
          <w:sz w:val="20"/>
          <w:szCs w:val="24"/>
        </w:rPr>
        <w:t>7</w:t>
      </w:r>
      <w:r>
        <w:rPr>
          <w:sz w:val="20"/>
          <w:szCs w:val="24"/>
        </w:rPr>
        <w:t>(6), 176. https://doi.org/10.3390/JMSE7060176</w:t>
      </w:r>
    </w:p>
    <w:p w14:paraId="6D2B17E7">
      <w:pPr>
        <w:widowControl w:val="0"/>
        <w:autoSpaceDE w:val="0"/>
        <w:autoSpaceDN w:val="0"/>
        <w:adjustRightInd w:val="0"/>
        <w:spacing w:after="0" w:line="240" w:lineRule="auto"/>
        <w:ind w:left="220" w:hanging="220" w:hangingChars="110"/>
        <w:jc w:val="both"/>
        <w:rPr>
          <w:sz w:val="20"/>
          <w:szCs w:val="24"/>
        </w:rPr>
      </w:pPr>
      <w:r>
        <w:rPr>
          <w:sz w:val="20"/>
          <w:szCs w:val="24"/>
        </w:rPr>
        <w:t xml:space="preserve">Bilstein, A., Werkhäuser, N., Rybachuk, A., &amp; Mösges, R. (2021). The effectiveness of the bacteria derived extremolyte ectoine for the treatment of allergic rhinitis. </w:t>
      </w:r>
      <w:r>
        <w:rPr>
          <w:i/>
          <w:iCs/>
          <w:sz w:val="20"/>
          <w:szCs w:val="24"/>
        </w:rPr>
        <w:t>BioMed Research International, 1</w:t>
      </w:r>
      <w:r>
        <w:rPr>
          <w:sz w:val="20"/>
          <w:szCs w:val="24"/>
        </w:rPr>
        <w:t>, 5562623.</w:t>
      </w:r>
      <w:r>
        <w:t xml:space="preserve"> </w:t>
      </w:r>
      <w:r>
        <w:rPr>
          <w:sz w:val="20"/>
          <w:szCs w:val="24"/>
        </w:rPr>
        <w:t xml:space="preserve">https://doi.org/10.1155/2021/5562623 </w:t>
      </w:r>
    </w:p>
    <w:p w14:paraId="71691CC2">
      <w:pPr>
        <w:widowControl w:val="0"/>
        <w:autoSpaceDE w:val="0"/>
        <w:autoSpaceDN w:val="0"/>
        <w:adjustRightInd w:val="0"/>
        <w:spacing w:after="0" w:line="240" w:lineRule="auto"/>
        <w:ind w:left="220" w:hanging="220" w:hangingChars="110"/>
        <w:jc w:val="both"/>
        <w:rPr>
          <w:sz w:val="20"/>
          <w:szCs w:val="24"/>
        </w:rPr>
      </w:pPr>
      <w:r>
        <w:rPr>
          <w:sz w:val="20"/>
          <w:szCs w:val="24"/>
        </w:rPr>
        <w:t xml:space="preserve">Böhringer, N., Fisch, K. M., Schillo, D., Bara, R., Hertzer, C., Grein, F., Eisenbarth, J. H., Kaligis, F., Schneider, T., Wägele, H., König, G. M., &amp; Schäberle, T. F. (2017). Antimicrobial Potential of Bacteria Associated with Marine Sea Slugs from North Sulawesi, Indonesia. </w:t>
      </w:r>
      <w:r>
        <w:rPr>
          <w:i/>
          <w:iCs/>
          <w:sz w:val="20"/>
          <w:szCs w:val="24"/>
        </w:rPr>
        <w:t>Frontiers in Microbiology</w:t>
      </w:r>
      <w:r>
        <w:rPr>
          <w:sz w:val="20"/>
          <w:szCs w:val="24"/>
        </w:rPr>
        <w:t xml:space="preserve">, </w:t>
      </w:r>
      <w:r>
        <w:rPr>
          <w:i/>
          <w:iCs/>
          <w:sz w:val="20"/>
          <w:szCs w:val="24"/>
        </w:rPr>
        <w:t>8</w:t>
      </w:r>
      <w:r>
        <w:rPr>
          <w:sz w:val="20"/>
          <w:szCs w:val="24"/>
        </w:rPr>
        <w:t>(JUN). https://doi.org/10.3389/FMICB.2017.01092</w:t>
      </w:r>
    </w:p>
    <w:p w14:paraId="0FDB6305">
      <w:pPr>
        <w:widowControl w:val="0"/>
        <w:autoSpaceDE w:val="0"/>
        <w:autoSpaceDN w:val="0"/>
        <w:adjustRightInd w:val="0"/>
        <w:spacing w:after="0" w:line="240" w:lineRule="auto"/>
        <w:ind w:left="220" w:hanging="220" w:hangingChars="110"/>
        <w:jc w:val="both"/>
        <w:rPr>
          <w:sz w:val="20"/>
          <w:szCs w:val="24"/>
        </w:rPr>
      </w:pPr>
      <w:r>
        <w:rPr>
          <w:sz w:val="20"/>
          <w:szCs w:val="24"/>
        </w:rPr>
        <w:t xml:space="preserve">Bonnet, M., Lagier, J. C., Raoult, D., &amp; Khelaifia, S. (2020). Bacterial culture through selective and non-selective conditions: the evolution of culture media in clinical microbiology. </w:t>
      </w:r>
      <w:r>
        <w:rPr>
          <w:i/>
          <w:iCs/>
          <w:sz w:val="20"/>
          <w:szCs w:val="24"/>
        </w:rPr>
        <w:t>New Microbes and New Infections</w:t>
      </w:r>
      <w:r>
        <w:rPr>
          <w:sz w:val="20"/>
          <w:szCs w:val="24"/>
        </w:rPr>
        <w:t xml:space="preserve">, </w:t>
      </w:r>
      <w:r>
        <w:rPr>
          <w:i/>
          <w:iCs/>
          <w:sz w:val="20"/>
          <w:szCs w:val="24"/>
        </w:rPr>
        <w:t>34</w:t>
      </w:r>
      <w:r>
        <w:rPr>
          <w:sz w:val="20"/>
          <w:szCs w:val="24"/>
        </w:rPr>
        <w:t>, 100622. https://doi.org/10.1016/J.NMNI.2019.100622</w:t>
      </w:r>
    </w:p>
    <w:p w14:paraId="629B48EE">
      <w:pPr>
        <w:widowControl w:val="0"/>
        <w:autoSpaceDE w:val="0"/>
        <w:autoSpaceDN w:val="0"/>
        <w:adjustRightInd w:val="0"/>
        <w:spacing w:after="0" w:line="240" w:lineRule="auto"/>
        <w:ind w:left="220" w:hanging="220" w:hangingChars="110"/>
        <w:jc w:val="both"/>
        <w:rPr>
          <w:sz w:val="20"/>
          <w:szCs w:val="24"/>
        </w:rPr>
      </w:pPr>
      <w:r>
        <w:rPr>
          <w:sz w:val="20"/>
          <w:szCs w:val="24"/>
        </w:rPr>
        <w:t xml:space="preserve">Camacho, C., Coulouris, G., Avagyan, V., Ma, N., Papadopoulos, J., Bealer, K., &amp; Madden, T. L. (2009). BLAST+: architecture and applications. </w:t>
      </w:r>
      <w:r>
        <w:rPr>
          <w:i/>
          <w:iCs/>
          <w:sz w:val="20"/>
          <w:szCs w:val="24"/>
        </w:rPr>
        <w:t>BMC Bioinformatics</w:t>
      </w:r>
      <w:r>
        <w:rPr>
          <w:sz w:val="20"/>
          <w:szCs w:val="24"/>
        </w:rPr>
        <w:t xml:space="preserve">, </w:t>
      </w:r>
      <w:r>
        <w:rPr>
          <w:i/>
          <w:iCs/>
          <w:sz w:val="20"/>
          <w:szCs w:val="24"/>
        </w:rPr>
        <w:t>10</w:t>
      </w:r>
      <w:r>
        <w:rPr>
          <w:sz w:val="20"/>
          <w:szCs w:val="24"/>
        </w:rPr>
        <w:t>(1), 421. https://doi.org/10.1186/1471-2105-10-421</w:t>
      </w:r>
    </w:p>
    <w:p w14:paraId="5B3D9C3C">
      <w:pPr>
        <w:widowControl w:val="0"/>
        <w:autoSpaceDE w:val="0"/>
        <w:autoSpaceDN w:val="0"/>
        <w:adjustRightInd w:val="0"/>
        <w:spacing w:after="0" w:line="240" w:lineRule="auto"/>
        <w:ind w:left="220" w:hanging="220" w:hangingChars="110"/>
        <w:jc w:val="both"/>
        <w:rPr>
          <w:sz w:val="20"/>
          <w:szCs w:val="24"/>
        </w:rPr>
      </w:pPr>
      <w:r>
        <w:rPr>
          <w:sz w:val="20"/>
          <w:szCs w:val="24"/>
        </w:rPr>
        <w:t xml:space="preserve">Falkenberg, F., Rahba, J., Fischer, D., Bott, M., Bongaerts, J., &amp; Siegert, P. (2022). Biochemical characterization of a novel oxidatively stable, halotolerant, and high‐alkaline subtilisin from </w:t>
      </w:r>
      <w:r>
        <w:rPr>
          <w:i/>
          <w:iCs/>
          <w:sz w:val="20"/>
          <w:szCs w:val="24"/>
        </w:rPr>
        <w:t xml:space="preserve">Alkalihalobacillus okhensis </w:t>
      </w:r>
      <w:r>
        <w:rPr>
          <w:sz w:val="20"/>
          <w:szCs w:val="24"/>
        </w:rPr>
        <w:t>Kh10‐101T.</w:t>
      </w:r>
      <w:r>
        <w:rPr>
          <w:sz w:val="20"/>
          <w:szCs w:val="24"/>
          <w:lang w:val="en-US"/>
        </w:rPr>
        <w:t xml:space="preserve"> </w:t>
      </w:r>
      <w:r>
        <w:rPr>
          <w:i/>
          <w:iCs/>
          <w:sz w:val="20"/>
          <w:szCs w:val="24"/>
        </w:rPr>
        <w:t>FEBS Open Bio,</w:t>
      </w:r>
      <w:r>
        <w:rPr>
          <w:i/>
          <w:iCs/>
          <w:sz w:val="20"/>
          <w:szCs w:val="24"/>
          <w:lang w:val="en-US"/>
        </w:rPr>
        <w:t xml:space="preserve"> </w:t>
      </w:r>
      <w:r>
        <w:rPr>
          <w:i/>
          <w:iCs/>
          <w:sz w:val="20"/>
          <w:szCs w:val="24"/>
        </w:rPr>
        <w:t>12</w:t>
      </w:r>
      <w:r>
        <w:rPr>
          <w:sz w:val="20"/>
          <w:szCs w:val="24"/>
        </w:rPr>
        <w:t>(10), 1729-1746.</w:t>
      </w:r>
      <w:r>
        <w:t xml:space="preserve"> </w:t>
      </w:r>
      <w:r>
        <w:rPr>
          <w:sz w:val="20"/>
          <w:szCs w:val="24"/>
        </w:rPr>
        <w:t>https://doi.org/10.1002/2211-5463.13457</w:t>
      </w:r>
    </w:p>
    <w:p w14:paraId="66046AC6">
      <w:pPr>
        <w:widowControl w:val="0"/>
        <w:autoSpaceDE w:val="0"/>
        <w:autoSpaceDN w:val="0"/>
        <w:adjustRightInd w:val="0"/>
        <w:spacing w:after="0" w:line="240" w:lineRule="auto"/>
        <w:ind w:left="220" w:hanging="220" w:hangingChars="110"/>
        <w:jc w:val="both"/>
        <w:rPr>
          <w:sz w:val="20"/>
          <w:szCs w:val="24"/>
        </w:rPr>
      </w:pPr>
      <w:r>
        <w:rPr>
          <w:sz w:val="20"/>
          <w:szCs w:val="24"/>
        </w:rPr>
        <w:t xml:space="preserve">Gaffney, E. M., Simoska, O., &amp; Minteer, S. D. (2021). The Use of Electroactive Halophilic Bacteria for Improvements and Advancements in Environmental High Saline Biosensing. </w:t>
      </w:r>
      <w:r>
        <w:rPr>
          <w:i/>
          <w:iCs/>
          <w:sz w:val="20"/>
          <w:szCs w:val="24"/>
        </w:rPr>
        <w:t>Biosensors</w:t>
      </w:r>
      <w:r>
        <w:rPr>
          <w:sz w:val="20"/>
          <w:szCs w:val="24"/>
        </w:rPr>
        <w:t xml:space="preserve">, </w:t>
      </w:r>
      <w:r>
        <w:rPr>
          <w:i/>
          <w:iCs/>
          <w:sz w:val="20"/>
          <w:szCs w:val="24"/>
        </w:rPr>
        <w:t>11</w:t>
      </w:r>
      <w:r>
        <w:rPr>
          <w:sz w:val="20"/>
          <w:szCs w:val="24"/>
        </w:rPr>
        <w:t>(2), 48. https://doi.org/10.3390/BIOS11020048</w:t>
      </w:r>
    </w:p>
    <w:p w14:paraId="3B3A02E7">
      <w:pPr>
        <w:widowControl w:val="0"/>
        <w:autoSpaceDE w:val="0"/>
        <w:autoSpaceDN w:val="0"/>
        <w:adjustRightInd w:val="0"/>
        <w:spacing w:after="0" w:line="240" w:lineRule="auto"/>
        <w:ind w:left="220" w:hanging="220" w:hangingChars="110"/>
        <w:jc w:val="both"/>
        <w:rPr>
          <w:sz w:val="20"/>
          <w:szCs w:val="24"/>
        </w:rPr>
      </w:pPr>
      <w:r>
        <w:rPr>
          <w:sz w:val="20"/>
          <w:szCs w:val="24"/>
        </w:rPr>
        <w:t xml:space="preserve">Gavriilidou, A., Gutleben, J., Versluis, D., Forgiarini, F., Van Passel, M. W. J., Ingham, C. J., Smidt, H., &amp; Sipkema, D. (2020). Comparative genomic analysis of Flavobacteriaceae: insights into carbohydrate metabolism, gliding motility and secondary metabolite biosynthesis. </w:t>
      </w:r>
      <w:r>
        <w:rPr>
          <w:i/>
          <w:iCs/>
          <w:sz w:val="20"/>
          <w:szCs w:val="24"/>
        </w:rPr>
        <w:t>BMC Genomics</w:t>
      </w:r>
      <w:r>
        <w:rPr>
          <w:sz w:val="20"/>
          <w:szCs w:val="24"/>
        </w:rPr>
        <w:t xml:space="preserve">, </w:t>
      </w:r>
      <w:r>
        <w:rPr>
          <w:i/>
          <w:iCs/>
          <w:sz w:val="20"/>
          <w:szCs w:val="24"/>
        </w:rPr>
        <w:t>21</w:t>
      </w:r>
      <w:r>
        <w:rPr>
          <w:sz w:val="20"/>
          <w:szCs w:val="24"/>
        </w:rPr>
        <w:t>(1). https://doi.org/10.1186/S12864-020-06971-7</w:t>
      </w:r>
    </w:p>
    <w:p w14:paraId="5CA9829A">
      <w:pPr>
        <w:widowControl w:val="0"/>
        <w:autoSpaceDE w:val="0"/>
        <w:autoSpaceDN w:val="0"/>
        <w:adjustRightInd w:val="0"/>
        <w:spacing w:after="0" w:line="240" w:lineRule="auto"/>
        <w:ind w:left="220" w:hanging="220" w:hangingChars="110"/>
        <w:jc w:val="both"/>
        <w:rPr>
          <w:sz w:val="20"/>
          <w:szCs w:val="24"/>
        </w:rPr>
      </w:pPr>
      <w:r>
        <w:rPr>
          <w:sz w:val="20"/>
          <w:szCs w:val="24"/>
        </w:rPr>
        <w:t xml:space="preserve">Gu, N., Dong, Q., Li, H., Liu, X., Wu, H., Zhai, P., ... &amp; Gao, J. (2025). Zirconium-based metal–organic framework immobilized subtilisin for anti-biofilm. </w:t>
      </w:r>
      <w:r>
        <w:rPr>
          <w:i/>
          <w:iCs/>
          <w:sz w:val="20"/>
          <w:szCs w:val="24"/>
        </w:rPr>
        <w:t>Materials Letters, 382</w:t>
      </w:r>
      <w:r>
        <w:rPr>
          <w:sz w:val="20"/>
          <w:szCs w:val="24"/>
        </w:rPr>
        <w:t>, 137818.</w:t>
      </w:r>
      <w:r>
        <w:rPr>
          <w:lang w:val="en-US"/>
        </w:rPr>
        <w:t xml:space="preserve"> </w:t>
      </w:r>
      <w:r>
        <w:rPr>
          <w:sz w:val="20"/>
          <w:szCs w:val="24"/>
        </w:rPr>
        <w:t>https://doi.org/10.1016/j.matlet.2024.137818</w:t>
      </w:r>
    </w:p>
    <w:p w14:paraId="1F99857D">
      <w:pPr>
        <w:widowControl w:val="0"/>
        <w:autoSpaceDE w:val="0"/>
        <w:autoSpaceDN w:val="0"/>
        <w:adjustRightInd w:val="0"/>
        <w:spacing w:after="0" w:line="240" w:lineRule="auto"/>
        <w:ind w:left="220" w:hanging="220" w:hangingChars="110"/>
        <w:jc w:val="both"/>
        <w:rPr>
          <w:sz w:val="20"/>
          <w:szCs w:val="24"/>
        </w:rPr>
      </w:pPr>
      <w:r>
        <w:rPr>
          <w:sz w:val="20"/>
          <w:szCs w:val="24"/>
        </w:rPr>
        <w:t xml:space="preserve">Hall, A. T. (1999). BioEdit: a user-friendly biological sequence alignment editor and analysis program for Windows 95/98/NT. </w:t>
      </w:r>
      <w:r>
        <w:rPr>
          <w:i/>
          <w:iCs/>
          <w:sz w:val="20"/>
          <w:szCs w:val="24"/>
        </w:rPr>
        <w:t>Nucleic Acids Symposium Series</w:t>
      </w:r>
      <w:r>
        <w:rPr>
          <w:sz w:val="20"/>
          <w:szCs w:val="24"/>
        </w:rPr>
        <w:t xml:space="preserve">, </w:t>
      </w:r>
      <w:r>
        <w:rPr>
          <w:i/>
          <w:iCs/>
          <w:sz w:val="20"/>
          <w:szCs w:val="24"/>
        </w:rPr>
        <w:t>41</w:t>
      </w:r>
      <w:r>
        <w:rPr>
          <w:sz w:val="20"/>
          <w:szCs w:val="24"/>
        </w:rPr>
        <w:t>, 95–98.</w:t>
      </w:r>
    </w:p>
    <w:p w14:paraId="5D22CE8E">
      <w:pPr>
        <w:widowControl w:val="0"/>
        <w:autoSpaceDE w:val="0"/>
        <w:autoSpaceDN w:val="0"/>
        <w:adjustRightInd w:val="0"/>
        <w:spacing w:after="0" w:line="240" w:lineRule="auto"/>
        <w:ind w:left="220" w:hanging="220" w:hangingChars="110"/>
        <w:jc w:val="both"/>
        <w:rPr>
          <w:sz w:val="20"/>
          <w:szCs w:val="24"/>
        </w:rPr>
      </w:pPr>
      <w:r>
        <w:rPr>
          <w:sz w:val="20"/>
          <w:szCs w:val="24"/>
        </w:rPr>
        <w:t xml:space="preserve">Haney, E. F., Trimble, M. J., Cheng, J. T., Vallé, Q., &amp; Hancock, R. E. W. (2018). Critical Assessment of Methods to Quantify Biofilm Growth and </w:t>
      </w:r>
    </w:p>
    <w:p w14:paraId="1A2D3CAC">
      <w:pPr>
        <w:widowControl w:val="0"/>
        <w:autoSpaceDE w:val="0"/>
        <w:autoSpaceDN w:val="0"/>
        <w:adjustRightInd w:val="0"/>
        <w:spacing w:after="0" w:line="240" w:lineRule="auto"/>
        <w:ind w:left="220" w:hanging="220" w:hangingChars="110"/>
        <w:jc w:val="both"/>
        <w:rPr>
          <w:sz w:val="20"/>
          <w:szCs w:val="24"/>
        </w:rPr>
      </w:pPr>
      <w:r>
        <w:rPr>
          <w:sz w:val="20"/>
          <w:szCs w:val="24"/>
        </w:rPr>
        <w:t xml:space="preserve">Evaluate Antibiofilm Activity of Host Defence Peptides. </w:t>
      </w:r>
      <w:r>
        <w:rPr>
          <w:i/>
          <w:iCs/>
          <w:sz w:val="20"/>
          <w:szCs w:val="24"/>
        </w:rPr>
        <w:t>Biomolecules</w:t>
      </w:r>
      <w:r>
        <w:rPr>
          <w:sz w:val="20"/>
          <w:szCs w:val="24"/>
        </w:rPr>
        <w:t xml:space="preserve">, </w:t>
      </w:r>
      <w:r>
        <w:rPr>
          <w:i/>
          <w:iCs/>
          <w:sz w:val="20"/>
          <w:szCs w:val="24"/>
        </w:rPr>
        <w:t>8</w:t>
      </w:r>
      <w:r>
        <w:rPr>
          <w:sz w:val="20"/>
          <w:szCs w:val="24"/>
        </w:rPr>
        <w:t>(2), 29. https://doi.org/10.3390/BIOM8020029</w:t>
      </w:r>
    </w:p>
    <w:p w14:paraId="19F384D4">
      <w:pPr>
        <w:widowControl w:val="0"/>
        <w:autoSpaceDE w:val="0"/>
        <w:autoSpaceDN w:val="0"/>
        <w:adjustRightInd w:val="0"/>
        <w:spacing w:after="0" w:line="240" w:lineRule="auto"/>
        <w:ind w:left="220" w:hanging="220" w:hangingChars="110"/>
        <w:jc w:val="both"/>
        <w:rPr>
          <w:sz w:val="20"/>
          <w:szCs w:val="24"/>
        </w:rPr>
      </w:pPr>
      <w:r>
        <w:rPr>
          <w:sz w:val="20"/>
          <w:szCs w:val="24"/>
        </w:rPr>
        <w:t xml:space="preserve">Hassan, S. S. </w:t>
      </w:r>
      <w:r>
        <w:rPr>
          <w:sz w:val="20"/>
          <w:szCs w:val="24"/>
          <w:lang w:val="en-US"/>
        </w:rPr>
        <w:t>U.</w:t>
      </w:r>
      <w:r>
        <w:rPr>
          <w:sz w:val="20"/>
          <w:szCs w:val="24"/>
        </w:rPr>
        <w:t xml:space="preserve">, &amp; Jin, H. (2024). Harnessing marine bacteria for next-gen antibiotics: potent inhibition of </w:t>
      </w:r>
      <w:r>
        <w:rPr>
          <w:i/>
          <w:sz w:val="20"/>
          <w:szCs w:val="24"/>
        </w:rPr>
        <w:t>S. aureus</w:t>
      </w:r>
      <w:r>
        <w:rPr>
          <w:sz w:val="20"/>
          <w:szCs w:val="24"/>
        </w:rPr>
        <w:t xml:space="preserve"> and </w:t>
      </w:r>
      <w:r>
        <w:rPr>
          <w:i/>
          <w:sz w:val="20"/>
          <w:szCs w:val="24"/>
        </w:rPr>
        <w:t>Riemerella anatipestifer</w:t>
      </w:r>
      <w:r>
        <w:rPr>
          <w:sz w:val="20"/>
          <w:szCs w:val="24"/>
        </w:rPr>
        <w:t xml:space="preserve"> through in vitro, omics, and chemoinformatics approach with enhanced production of secondary metabolites through zinc sulfate. </w:t>
      </w:r>
      <w:r>
        <w:rPr>
          <w:i/>
          <w:iCs/>
          <w:sz w:val="20"/>
          <w:szCs w:val="24"/>
        </w:rPr>
        <w:t>Frontiers in Marine Science</w:t>
      </w:r>
      <w:r>
        <w:rPr>
          <w:sz w:val="20"/>
          <w:szCs w:val="24"/>
        </w:rPr>
        <w:t xml:space="preserve">, </w:t>
      </w:r>
      <w:r>
        <w:rPr>
          <w:i/>
          <w:iCs/>
          <w:sz w:val="20"/>
          <w:szCs w:val="24"/>
        </w:rPr>
        <w:t>11</w:t>
      </w:r>
      <w:r>
        <w:rPr>
          <w:sz w:val="20"/>
          <w:szCs w:val="24"/>
        </w:rPr>
        <w:t>, 1461607. https://doi.org/10.3389/FMARS.2024.1461607/BIBTEX</w:t>
      </w:r>
    </w:p>
    <w:p w14:paraId="1D262A79">
      <w:pPr>
        <w:widowControl w:val="0"/>
        <w:autoSpaceDE w:val="0"/>
        <w:autoSpaceDN w:val="0"/>
        <w:adjustRightInd w:val="0"/>
        <w:spacing w:after="0" w:line="240" w:lineRule="auto"/>
        <w:ind w:left="220" w:hanging="220" w:hangingChars="110"/>
        <w:jc w:val="both"/>
        <w:rPr>
          <w:sz w:val="20"/>
          <w:szCs w:val="24"/>
        </w:rPr>
      </w:pPr>
      <w:r>
        <w:rPr>
          <w:sz w:val="20"/>
          <w:szCs w:val="24"/>
        </w:rPr>
        <w:t xml:space="preserve">Irawan, H., Mustopa, A. Z., Suryadinata, R. P., Manguntungi, A. B., Trinugroho, J. P., Feraliana, Mustafawi, W. Z., </w:t>
      </w:r>
      <w:r>
        <w:rPr>
          <w:sz w:val="20"/>
          <w:szCs w:val="24"/>
          <w:lang w:val="en-US"/>
        </w:rPr>
        <w:t>...</w:t>
      </w:r>
      <w:r>
        <w:rPr>
          <w:sz w:val="20"/>
          <w:szCs w:val="24"/>
        </w:rPr>
        <w:t xml:space="preserve"> &amp; Palupi, K. D. (2025). Genome mining identifies </w:t>
      </w:r>
      <w:r>
        <w:rPr>
          <w:i/>
          <w:iCs/>
          <w:sz w:val="20"/>
          <w:szCs w:val="24"/>
        </w:rPr>
        <w:t xml:space="preserve">Micrococcus yunnanensis </w:t>
      </w:r>
      <w:r>
        <w:rPr>
          <w:sz w:val="20"/>
          <w:szCs w:val="24"/>
        </w:rPr>
        <w:t xml:space="preserve">strain AZMABM 17 as a potential source of Antioxidant, Anti-Inflammatory, Antidiabetic, and Antiproliferative compounds. </w:t>
      </w:r>
      <w:r>
        <w:rPr>
          <w:i/>
          <w:iCs/>
          <w:sz w:val="20"/>
          <w:szCs w:val="24"/>
        </w:rPr>
        <w:t>Molecular Biology Reports</w:t>
      </w:r>
      <w:r>
        <w:rPr>
          <w:i/>
          <w:iCs/>
          <w:sz w:val="20"/>
          <w:szCs w:val="24"/>
          <w:lang w:val="en-US"/>
        </w:rPr>
        <w:t xml:space="preserve">, </w:t>
      </w:r>
      <w:r>
        <w:rPr>
          <w:i/>
          <w:iCs/>
          <w:sz w:val="20"/>
          <w:szCs w:val="24"/>
        </w:rPr>
        <w:t>52</w:t>
      </w:r>
      <w:r>
        <w:rPr>
          <w:sz w:val="20"/>
          <w:szCs w:val="24"/>
        </w:rPr>
        <w:t>(1), 1-</w:t>
      </w:r>
      <w:r>
        <w:rPr>
          <w:sz w:val="20"/>
          <w:szCs w:val="24"/>
          <w:lang w:val="en-US"/>
        </w:rPr>
        <w:t>17</w:t>
      </w:r>
      <w:r>
        <w:rPr>
          <w:sz w:val="20"/>
          <w:szCs w:val="24"/>
        </w:rPr>
        <w:t>. https://doi.org/10.1007/S11033-025-11104-Y</w:t>
      </w:r>
    </w:p>
    <w:p w14:paraId="4358F821">
      <w:pPr>
        <w:widowControl w:val="0"/>
        <w:autoSpaceDE w:val="0"/>
        <w:autoSpaceDN w:val="0"/>
        <w:adjustRightInd w:val="0"/>
        <w:spacing w:after="0" w:line="240" w:lineRule="auto"/>
        <w:ind w:left="220" w:hanging="220" w:hangingChars="110"/>
        <w:jc w:val="both"/>
        <w:rPr>
          <w:sz w:val="20"/>
          <w:szCs w:val="24"/>
        </w:rPr>
      </w:pPr>
      <w:r>
        <w:rPr>
          <w:sz w:val="20"/>
          <w:szCs w:val="24"/>
        </w:rPr>
        <w:t xml:space="preserve">Joshi, A., Thite, S., Karodi, P., Joseph, N., &amp; Lodha, T. (2021). </w:t>
      </w:r>
      <w:r>
        <w:rPr>
          <w:i/>
          <w:iCs/>
          <w:sz w:val="20"/>
          <w:szCs w:val="24"/>
        </w:rPr>
        <w:t xml:space="preserve">Alkalihalobacterium elongatum </w:t>
      </w:r>
      <w:r>
        <w:rPr>
          <w:sz w:val="20"/>
          <w:szCs w:val="24"/>
        </w:rPr>
        <w:t xml:space="preserve">gen. nov. sp. nov.: An antibiotic-producing bacterium isolated from Lonar Lake and reclassification of the genus </w:t>
      </w:r>
      <w:r>
        <w:rPr>
          <w:i/>
          <w:iCs/>
          <w:sz w:val="20"/>
          <w:szCs w:val="24"/>
        </w:rPr>
        <w:t xml:space="preserve">Alkalihalobacillus </w:t>
      </w:r>
      <w:r>
        <w:rPr>
          <w:sz w:val="20"/>
          <w:szCs w:val="24"/>
        </w:rPr>
        <w:t>into seven novel genera.</w:t>
      </w:r>
      <w:r>
        <w:rPr>
          <w:sz w:val="20"/>
          <w:szCs w:val="24"/>
          <w:lang w:val="en-US"/>
        </w:rPr>
        <w:t xml:space="preserve"> </w:t>
      </w:r>
      <w:r>
        <w:rPr>
          <w:i/>
          <w:iCs/>
          <w:sz w:val="20"/>
          <w:szCs w:val="24"/>
        </w:rPr>
        <w:t xml:space="preserve">Frontiers in </w:t>
      </w:r>
      <w:r>
        <w:rPr>
          <w:i/>
          <w:iCs/>
          <w:sz w:val="20"/>
          <w:szCs w:val="24"/>
          <w:lang w:val="en-US"/>
        </w:rPr>
        <w:t>M</w:t>
      </w:r>
      <w:r>
        <w:rPr>
          <w:i/>
          <w:iCs/>
          <w:sz w:val="20"/>
          <w:szCs w:val="24"/>
        </w:rPr>
        <w:t>icrobiology,</w:t>
      </w:r>
      <w:r>
        <w:rPr>
          <w:i/>
          <w:iCs/>
          <w:sz w:val="20"/>
          <w:szCs w:val="24"/>
          <w:lang w:val="en-US"/>
        </w:rPr>
        <w:t xml:space="preserve"> </w:t>
      </w:r>
      <w:r>
        <w:rPr>
          <w:i/>
          <w:iCs/>
          <w:sz w:val="20"/>
          <w:szCs w:val="24"/>
        </w:rPr>
        <w:t>12</w:t>
      </w:r>
      <w:r>
        <w:rPr>
          <w:sz w:val="20"/>
          <w:szCs w:val="24"/>
        </w:rPr>
        <w:t>, 722369.</w:t>
      </w:r>
      <w:r>
        <w:rPr>
          <w:sz w:val="20"/>
          <w:szCs w:val="24"/>
          <w:lang w:val="en-US"/>
        </w:rPr>
        <w:t xml:space="preserve"> </w:t>
      </w:r>
      <w:r>
        <w:rPr>
          <w:sz w:val="20"/>
          <w:szCs w:val="24"/>
        </w:rPr>
        <w:t>doi: 10.3389/fmicb.2021.722369</w:t>
      </w:r>
    </w:p>
    <w:p w14:paraId="6EFE183E">
      <w:pPr>
        <w:widowControl w:val="0"/>
        <w:autoSpaceDE w:val="0"/>
        <w:autoSpaceDN w:val="0"/>
        <w:adjustRightInd w:val="0"/>
        <w:spacing w:after="0" w:line="240" w:lineRule="auto"/>
        <w:ind w:left="220" w:hanging="220" w:hangingChars="110"/>
        <w:jc w:val="both"/>
        <w:rPr>
          <w:sz w:val="20"/>
          <w:szCs w:val="24"/>
        </w:rPr>
      </w:pPr>
      <w:r>
        <w:rPr>
          <w:sz w:val="20"/>
          <w:szCs w:val="24"/>
        </w:rPr>
        <w:t xml:space="preserve">Kabanov, D., Khabipova, N., Valeeva, L., Sharipova, M., Rogov, A., Kuznetsova, S., ... &amp; Mardanova, A. (2019). Effect of Subtilisin-like Proteinase of </w:t>
      </w:r>
      <w:r>
        <w:rPr>
          <w:i/>
          <w:iCs/>
          <w:sz w:val="20"/>
          <w:szCs w:val="24"/>
        </w:rPr>
        <w:t>Bacillus pumilus</w:t>
      </w:r>
      <w:r>
        <w:rPr>
          <w:sz w:val="20"/>
          <w:szCs w:val="24"/>
        </w:rPr>
        <w:t xml:space="preserve"> 3–19 on </w:t>
      </w:r>
      <w:r>
        <w:rPr>
          <w:i/>
          <w:iCs/>
          <w:sz w:val="20"/>
          <w:szCs w:val="24"/>
        </w:rPr>
        <w:t>Pseudomonas aeruginosa</w:t>
      </w:r>
      <w:r>
        <w:rPr>
          <w:sz w:val="20"/>
          <w:szCs w:val="24"/>
        </w:rPr>
        <w:t xml:space="preserve"> Biofilms. </w:t>
      </w:r>
      <w:r>
        <w:rPr>
          <w:i/>
          <w:iCs/>
          <w:sz w:val="20"/>
          <w:szCs w:val="24"/>
        </w:rPr>
        <w:t>BioNanoScience, 9</w:t>
      </w:r>
      <w:r>
        <w:rPr>
          <w:sz w:val="20"/>
          <w:szCs w:val="24"/>
        </w:rPr>
        <w:t>(2), 515-520.</w:t>
      </w:r>
      <w:r>
        <w:t xml:space="preserve"> </w:t>
      </w:r>
      <w:r>
        <w:rPr>
          <w:sz w:val="20"/>
          <w:szCs w:val="24"/>
        </w:rPr>
        <w:t>https://doi.org/10.1007/s12668-019-00617-z</w:t>
      </w:r>
    </w:p>
    <w:p w14:paraId="78F73288">
      <w:pPr>
        <w:widowControl w:val="0"/>
        <w:autoSpaceDE w:val="0"/>
        <w:autoSpaceDN w:val="0"/>
        <w:adjustRightInd w:val="0"/>
        <w:spacing w:after="0" w:line="240" w:lineRule="auto"/>
        <w:ind w:left="220" w:hanging="220" w:hangingChars="110"/>
        <w:jc w:val="both"/>
        <w:rPr>
          <w:sz w:val="20"/>
          <w:szCs w:val="24"/>
        </w:rPr>
      </w:pPr>
      <w:r>
        <w:rPr>
          <w:sz w:val="20"/>
          <w:szCs w:val="24"/>
        </w:rPr>
        <w:t xml:space="preserve">Kang, D., Liu, W., Kakahi, F. B., &amp; Delvigne, F. (2022). Combined utilization of metabolic inhibitors to prevent synergistic multi-species biofilm formation. </w:t>
      </w:r>
      <w:r>
        <w:rPr>
          <w:i/>
          <w:iCs/>
          <w:sz w:val="20"/>
          <w:szCs w:val="24"/>
        </w:rPr>
        <w:t>AMB Express, 12</w:t>
      </w:r>
      <w:r>
        <w:rPr>
          <w:sz w:val="20"/>
          <w:szCs w:val="24"/>
        </w:rPr>
        <w:t>(1), 32.</w:t>
      </w:r>
      <w:r>
        <w:t xml:space="preserve"> </w:t>
      </w:r>
      <w:r>
        <w:rPr>
          <w:sz w:val="20"/>
          <w:szCs w:val="24"/>
        </w:rPr>
        <w:t>https://doi.org/10.1186/s13568-022-01363-4</w:t>
      </w:r>
    </w:p>
    <w:p w14:paraId="13125D11">
      <w:pPr>
        <w:widowControl w:val="0"/>
        <w:autoSpaceDE w:val="0"/>
        <w:autoSpaceDN w:val="0"/>
        <w:adjustRightInd w:val="0"/>
        <w:spacing w:after="0" w:line="240" w:lineRule="auto"/>
        <w:ind w:left="220" w:hanging="220" w:hangingChars="110"/>
        <w:jc w:val="both"/>
        <w:rPr>
          <w:sz w:val="20"/>
          <w:szCs w:val="24"/>
        </w:rPr>
      </w:pPr>
      <w:r>
        <w:rPr>
          <w:sz w:val="20"/>
          <w:szCs w:val="24"/>
        </w:rPr>
        <w:t xml:space="preserve">Kong, L. S., Islahudin, F., Muthupalaniappen, L., &amp; Chong, W. W. (2021). Knowledge and Expectations on Antibiotic Use Among the General Public in Malaysia: A Nationwide Cross-Sectional Survey. </w:t>
      </w:r>
      <w:r>
        <w:rPr>
          <w:i/>
          <w:iCs/>
          <w:sz w:val="20"/>
          <w:szCs w:val="24"/>
        </w:rPr>
        <w:t>Patient Preference and Adherence</w:t>
      </w:r>
      <w:r>
        <w:rPr>
          <w:sz w:val="20"/>
          <w:szCs w:val="24"/>
        </w:rPr>
        <w:t xml:space="preserve">, </w:t>
      </w:r>
      <w:r>
        <w:rPr>
          <w:i/>
          <w:iCs/>
          <w:sz w:val="20"/>
          <w:szCs w:val="24"/>
        </w:rPr>
        <w:t>15</w:t>
      </w:r>
      <w:r>
        <w:rPr>
          <w:sz w:val="20"/>
          <w:szCs w:val="24"/>
        </w:rPr>
        <w:t>, 2405. https://doi.org/10.2147/PPA.S328890</w:t>
      </w:r>
    </w:p>
    <w:p w14:paraId="18B6FDAD">
      <w:pPr>
        <w:widowControl w:val="0"/>
        <w:autoSpaceDE w:val="0"/>
        <w:autoSpaceDN w:val="0"/>
        <w:adjustRightInd w:val="0"/>
        <w:spacing w:after="0" w:line="240" w:lineRule="auto"/>
        <w:ind w:left="220" w:hanging="220" w:hangingChars="110"/>
        <w:jc w:val="both"/>
        <w:rPr>
          <w:sz w:val="20"/>
          <w:szCs w:val="24"/>
        </w:rPr>
      </w:pPr>
      <w:r>
        <w:rPr>
          <w:sz w:val="20"/>
          <w:szCs w:val="24"/>
        </w:rPr>
        <w:t xml:space="preserve">Krishna, P. S., Raghunathan, S., &amp; Prakash, J. S. (2021). Comparative genome analysis of </w:t>
      </w:r>
      <w:r>
        <w:rPr>
          <w:i/>
          <w:iCs/>
          <w:sz w:val="20"/>
          <w:szCs w:val="24"/>
        </w:rPr>
        <w:t xml:space="preserve">Alkalihalobacillus okhensis </w:t>
      </w:r>
      <w:r>
        <w:rPr>
          <w:sz w:val="20"/>
          <w:szCs w:val="24"/>
        </w:rPr>
        <w:t>Kh10-101 T reveals insights into adaptive mechanisms for halo-alkali tolerance.</w:t>
      </w:r>
      <w:r>
        <w:rPr>
          <w:sz w:val="20"/>
          <w:szCs w:val="24"/>
          <w:lang w:val="en-US"/>
        </w:rPr>
        <w:t xml:space="preserve"> </w:t>
      </w:r>
      <w:r>
        <w:rPr>
          <w:i/>
          <w:iCs/>
          <w:sz w:val="20"/>
          <w:szCs w:val="24"/>
        </w:rPr>
        <w:t>3 Biotech,</w:t>
      </w:r>
      <w:r>
        <w:rPr>
          <w:i/>
          <w:iCs/>
          <w:sz w:val="20"/>
          <w:szCs w:val="24"/>
          <w:lang w:val="en-US"/>
        </w:rPr>
        <w:t xml:space="preserve"> </w:t>
      </w:r>
      <w:r>
        <w:rPr>
          <w:i/>
          <w:iCs/>
          <w:sz w:val="20"/>
          <w:szCs w:val="24"/>
        </w:rPr>
        <w:t>11</w:t>
      </w:r>
      <w:r>
        <w:rPr>
          <w:sz w:val="20"/>
          <w:szCs w:val="24"/>
        </w:rPr>
        <w:t>(8), 392.</w:t>
      </w:r>
      <w:r>
        <w:rPr>
          <w:sz w:val="20"/>
          <w:szCs w:val="24"/>
          <w:lang w:val="en-US"/>
        </w:rPr>
        <w:t xml:space="preserve"> </w:t>
      </w:r>
      <w:r>
        <w:rPr>
          <w:sz w:val="20"/>
          <w:szCs w:val="24"/>
        </w:rPr>
        <w:t xml:space="preserve">https://doi.org/10.1007/s13205-021-02938-x </w:t>
      </w:r>
    </w:p>
    <w:p w14:paraId="6CB1A715">
      <w:pPr>
        <w:widowControl w:val="0"/>
        <w:autoSpaceDE w:val="0"/>
        <w:autoSpaceDN w:val="0"/>
        <w:adjustRightInd w:val="0"/>
        <w:spacing w:after="0" w:line="240" w:lineRule="auto"/>
        <w:ind w:left="220" w:hanging="220" w:hangingChars="110"/>
        <w:jc w:val="both"/>
        <w:rPr>
          <w:sz w:val="20"/>
          <w:szCs w:val="24"/>
          <w:lang w:val="en-US"/>
        </w:rPr>
      </w:pPr>
      <w:r>
        <w:rPr>
          <w:sz w:val="20"/>
          <w:szCs w:val="24"/>
        </w:rPr>
        <w:t xml:space="preserve">Kusmiati, K., Fanani, A., Nurkanto, A., Purnaningsih, I., Mamangkey, J., Ramadhani, I., </w:t>
      </w:r>
      <w:r>
        <w:rPr>
          <w:sz w:val="20"/>
          <w:szCs w:val="24"/>
          <w:lang w:val="en-US"/>
        </w:rPr>
        <w:t>...</w:t>
      </w:r>
      <w:r>
        <w:rPr>
          <w:sz w:val="20"/>
          <w:szCs w:val="24"/>
        </w:rPr>
        <w:t xml:space="preserve"> &amp; Juanssilfero, A. B. (2024). Profile and in silico analysis of metabolite compounds of the endophytic fungus </w:t>
      </w:r>
      <w:r>
        <w:rPr>
          <w:i/>
          <w:iCs/>
          <w:sz w:val="20"/>
          <w:szCs w:val="24"/>
        </w:rPr>
        <w:t>Alternaria alternata</w:t>
      </w:r>
      <w:r>
        <w:rPr>
          <w:sz w:val="20"/>
          <w:szCs w:val="24"/>
        </w:rPr>
        <w:t xml:space="preserve"> K-10 from </w:t>
      </w:r>
      <w:r>
        <w:rPr>
          <w:i/>
          <w:iCs/>
          <w:sz w:val="20"/>
          <w:szCs w:val="24"/>
        </w:rPr>
        <w:t>Drymoglossum piloselloides</w:t>
      </w:r>
      <w:r>
        <w:rPr>
          <w:sz w:val="20"/>
          <w:szCs w:val="24"/>
        </w:rPr>
        <w:t xml:space="preserve"> as antioxidants and antibacterials. </w:t>
      </w:r>
      <w:r>
        <w:rPr>
          <w:i/>
          <w:iCs/>
          <w:sz w:val="20"/>
          <w:szCs w:val="24"/>
        </w:rPr>
        <w:t>Heliyon</w:t>
      </w:r>
      <w:r>
        <w:rPr>
          <w:sz w:val="20"/>
          <w:szCs w:val="24"/>
        </w:rPr>
        <w:t xml:space="preserve">, </w:t>
      </w:r>
      <w:r>
        <w:rPr>
          <w:i/>
          <w:iCs/>
          <w:sz w:val="20"/>
          <w:szCs w:val="24"/>
        </w:rPr>
        <w:t>10</w:t>
      </w:r>
      <w:r>
        <w:rPr>
          <w:sz w:val="20"/>
          <w:szCs w:val="24"/>
        </w:rPr>
        <w:t>(6), e27978. https://doi.org/10.1016/J.HELIYON.2024.E27978</w:t>
      </w:r>
      <w:r>
        <w:rPr>
          <w:sz w:val="20"/>
          <w:szCs w:val="24"/>
          <w:lang w:val="en-US"/>
        </w:rPr>
        <w:t xml:space="preserve"> </w:t>
      </w:r>
    </w:p>
    <w:p w14:paraId="44B245DC">
      <w:pPr>
        <w:widowControl w:val="0"/>
        <w:autoSpaceDE w:val="0"/>
        <w:autoSpaceDN w:val="0"/>
        <w:adjustRightInd w:val="0"/>
        <w:spacing w:after="0" w:line="240" w:lineRule="auto"/>
        <w:ind w:left="220" w:hanging="220" w:hangingChars="110"/>
        <w:jc w:val="both"/>
        <w:rPr>
          <w:sz w:val="20"/>
          <w:szCs w:val="24"/>
          <w:lang w:val="en-US"/>
        </w:rPr>
      </w:pPr>
      <w:r>
        <w:rPr>
          <w:sz w:val="20"/>
          <w:szCs w:val="24"/>
        </w:rPr>
        <w:t xml:space="preserve">Lee, J.-H., Kim, Y.-G., &amp; Lee, J. (2022). Inhibition of </w:t>
      </w:r>
      <w:r>
        <w:rPr>
          <w:i/>
          <w:iCs/>
          <w:sz w:val="20"/>
          <w:szCs w:val="24"/>
        </w:rPr>
        <w:t>Staphylococcus aureus</w:t>
      </w:r>
      <w:r>
        <w:rPr>
          <w:sz w:val="20"/>
          <w:szCs w:val="24"/>
        </w:rPr>
        <w:t xml:space="preserve"> Biofilm Formation and Virulence Factor Production by Petroselinic Acid and Other Unsaturated C18 Fatty Acids. </w:t>
      </w:r>
      <w:r>
        <w:rPr>
          <w:i/>
          <w:iCs/>
          <w:sz w:val="20"/>
          <w:szCs w:val="24"/>
        </w:rPr>
        <w:t>Microbiology Spectrum</w:t>
      </w:r>
      <w:r>
        <w:rPr>
          <w:sz w:val="20"/>
          <w:szCs w:val="24"/>
        </w:rPr>
        <w:t xml:space="preserve">, </w:t>
      </w:r>
      <w:r>
        <w:rPr>
          <w:i/>
          <w:iCs/>
          <w:sz w:val="20"/>
          <w:szCs w:val="24"/>
        </w:rPr>
        <w:t>10</w:t>
      </w:r>
      <w:r>
        <w:rPr>
          <w:sz w:val="20"/>
          <w:szCs w:val="24"/>
        </w:rPr>
        <w:t>(3). https://doi.org/10.1128/SPECTRUM.01330-22</w:t>
      </w:r>
      <w:r>
        <w:rPr>
          <w:sz w:val="20"/>
          <w:szCs w:val="24"/>
          <w:lang w:val="en-US"/>
        </w:rPr>
        <w:t xml:space="preserve"> </w:t>
      </w:r>
    </w:p>
    <w:p w14:paraId="7CAD16D3">
      <w:pPr>
        <w:widowControl w:val="0"/>
        <w:autoSpaceDE w:val="0"/>
        <w:autoSpaceDN w:val="0"/>
        <w:adjustRightInd w:val="0"/>
        <w:spacing w:after="0" w:line="240" w:lineRule="auto"/>
        <w:ind w:left="220" w:hanging="220" w:hangingChars="110"/>
        <w:jc w:val="both"/>
        <w:rPr>
          <w:sz w:val="20"/>
          <w:szCs w:val="24"/>
          <w:lang w:val="en-US"/>
        </w:rPr>
      </w:pPr>
      <w:r>
        <w:rPr>
          <w:sz w:val="20"/>
          <w:szCs w:val="24"/>
        </w:rPr>
        <w:t xml:space="preserve">Liu, H. Y., Prentice, E. L., &amp; Webber, M. A. (2024). Mechanisms of antimicrobial resistance in biofilms. </w:t>
      </w:r>
      <w:r>
        <w:rPr>
          <w:i/>
          <w:iCs/>
          <w:sz w:val="20"/>
          <w:szCs w:val="24"/>
        </w:rPr>
        <w:t>Npj Antimicrobials and Resistance</w:t>
      </w:r>
      <w:r>
        <w:rPr>
          <w:sz w:val="20"/>
          <w:szCs w:val="24"/>
        </w:rPr>
        <w:t xml:space="preserve">, </w:t>
      </w:r>
      <w:r>
        <w:rPr>
          <w:i/>
          <w:iCs/>
          <w:sz w:val="20"/>
          <w:szCs w:val="24"/>
        </w:rPr>
        <w:t>2</w:t>
      </w:r>
      <w:r>
        <w:rPr>
          <w:sz w:val="20"/>
          <w:szCs w:val="24"/>
        </w:rPr>
        <w:t>(1), 27. https://doi.org/10.1038/s44259-024-00046-3</w:t>
      </w:r>
      <w:r>
        <w:rPr>
          <w:sz w:val="20"/>
          <w:szCs w:val="24"/>
          <w:lang w:val="en-US"/>
        </w:rPr>
        <w:t xml:space="preserve"> </w:t>
      </w:r>
    </w:p>
    <w:p w14:paraId="685C0C19">
      <w:pPr>
        <w:widowControl w:val="0"/>
        <w:autoSpaceDE w:val="0"/>
        <w:autoSpaceDN w:val="0"/>
        <w:adjustRightInd w:val="0"/>
        <w:spacing w:after="0" w:line="240" w:lineRule="auto"/>
        <w:ind w:left="220" w:hanging="220" w:hangingChars="110"/>
        <w:jc w:val="both"/>
        <w:rPr>
          <w:sz w:val="20"/>
          <w:szCs w:val="24"/>
        </w:rPr>
      </w:pPr>
      <w:r>
        <w:rPr>
          <w:sz w:val="20"/>
          <w:szCs w:val="24"/>
        </w:rPr>
        <w:t xml:space="preserve">Liu, J., Madec, J. Y., Bousquet-Mélou, A., Haenni, M., &amp; Ferran, A. A. (2021). Destruction of </w:t>
      </w:r>
      <w:r>
        <w:rPr>
          <w:i/>
          <w:iCs/>
          <w:sz w:val="20"/>
          <w:szCs w:val="24"/>
        </w:rPr>
        <w:t xml:space="preserve">Staphylococcus aureus </w:t>
      </w:r>
      <w:r>
        <w:rPr>
          <w:sz w:val="20"/>
          <w:szCs w:val="24"/>
        </w:rPr>
        <w:t xml:space="preserve">biofilms by combining an antibiotic with subtilisin A or calcium gluconate. </w:t>
      </w:r>
      <w:r>
        <w:rPr>
          <w:i/>
          <w:iCs/>
          <w:sz w:val="20"/>
          <w:szCs w:val="24"/>
        </w:rPr>
        <w:t xml:space="preserve">Scientific </w:t>
      </w:r>
      <w:r>
        <w:rPr>
          <w:i/>
          <w:iCs/>
          <w:sz w:val="20"/>
          <w:szCs w:val="24"/>
          <w:lang w:val="en-US"/>
        </w:rPr>
        <w:t>R</w:t>
      </w:r>
      <w:r>
        <w:rPr>
          <w:i/>
          <w:iCs/>
          <w:sz w:val="20"/>
          <w:szCs w:val="24"/>
        </w:rPr>
        <w:t>eports, 11</w:t>
      </w:r>
      <w:r>
        <w:rPr>
          <w:sz w:val="20"/>
          <w:szCs w:val="24"/>
        </w:rPr>
        <w:t>(1), 6225.</w:t>
      </w:r>
      <w:r>
        <w:t xml:space="preserve"> </w:t>
      </w:r>
      <w:r>
        <w:rPr>
          <w:sz w:val="20"/>
          <w:szCs w:val="24"/>
        </w:rPr>
        <w:t>https://doi.org/10.1038/s41598-021-85722-4</w:t>
      </w:r>
    </w:p>
    <w:p w14:paraId="66CD9256">
      <w:pPr>
        <w:widowControl w:val="0"/>
        <w:autoSpaceDE w:val="0"/>
        <w:autoSpaceDN w:val="0"/>
        <w:adjustRightInd w:val="0"/>
        <w:spacing w:after="0" w:line="240" w:lineRule="auto"/>
        <w:ind w:left="220" w:hanging="220" w:hangingChars="110"/>
        <w:jc w:val="both"/>
        <w:rPr>
          <w:sz w:val="20"/>
          <w:szCs w:val="24"/>
        </w:rPr>
      </w:pPr>
      <w:r>
        <w:rPr>
          <w:sz w:val="20"/>
          <w:szCs w:val="24"/>
        </w:rPr>
        <w:t xml:space="preserve">Penesyan, A., Paulsen, I. T., Gillings, M. R., Kjelleberg, S., &amp; Manefield, M. J. (2020). Secondary effects of antibiotics on microbial biofilms. </w:t>
      </w:r>
      <w:r>
        <w:rPr>
          <w:i/>
          <w:iCs/>
          <w:sz w:val="20"/>
          <w:szCs w:val="24"/>
        </w:rPr>
        <w:t xml:space="preserve">Frontiers in </w:t>
      </w:r>
      <w:r>
        <w:rPr>
          <w:i/>
          <w:iCs/>
          <w:sz w:val="20"/>
          <w:szCs w:val="24"/>
          <w:lang w:val="en-US"/>
        </w:rPr>
        <w:t>M</w:t>
      </w:r>
      <w:r>
        <w:rPr>
          <w:i/>
          <w:iCs/>
          <w:sz w:val="20"/>
          <w:szCs w:val="24"/>
        </w:rPr>
        <w:t>icrobiology, 11</w:t>
      </w:r>
      <w:r>
        <w:rPr>
          <w:sz w:val="20"/>
          <w:szCs w:val="24"/>
        </w:rPr>
        <w:t>, 2109. doi: 10.3389/fmicb.2020.02109</w:t>
      </w:r>
    </w:p>
    <w:p w14:paraId="4FE15BE2">
      <w:pPr>
        <w:widowControl w:val="0"/>
        <w:autoSpaceDE w:val="0"/>
        <w:autoSpaceDN w:val="0"/>
        <w:adjustRightInd w:val="0"/>
        <w:spacing w:after="0" w:line="240" w:lineRule="auto"/>
        <w:ind w:left="220" w:hanging="220" w:hangingChars="110"/>
        <w:jc w:val="both"/>
        <w:rPr>
          <w:sz w:val="20"/>
          <w:szCs w:val="24"/>
        </w:rPr>
      </w:pPr>
      <w:r>
        <w:rPr>
          <w:sz w:val="20"/>
          <w:szCs w:val="24"/>
        </w:rPr>
        <w:t xml:space="preserve">Reinl, K. L., Harris, T. D., Elfferich, I., Coker, A., Zhan, Q., De Senerpont Domis, L. N., Morales-Williams, A. M., Bhattacharya, R., Grossart, H. P., North, R. L., &amp; Sweetman, J. N. (2022). The role of organic nutrients in structuring freshwater phytoplankton communities in a rapidly changing world. </w:t>
      </w:r>
      <w:r>
        <w:rPr>
          <w:i/>
          <w:iCs/>
          <w:sz w:val="20"/>
          <w:szCs w:val="24"/>
        </w:rPr>
        <w:t>Water Research</w:t>
      </w:r>
      <w:r>
        <w:rPr>
          <w:sz w:val="20"/>
          <w:szCs w:val="24"/>
        </w:rPr>
        <w:t xml:space="preserve">, </w:t>
      </w:r>
      <w:r>
        <w:rPr>
          <w:i/>
          <w:iCs/>
          <w:sz w:val="20"/>
          <w:szCs w:val="24"/>
        </w:rPr>
        <w:t>219</w:t>
      </w:r>
      <w:r>
        <w:rPr>
          <w:sz w:val="20"/>
          <w:szCs w:val="24"/>
        </w:rPr>
        <w:t>. https://doi.org/10.1016/J.WATRES.2022.118573</w:t>
      </w:r>
    </w:p>
    <w:p w14:paraId="5AB3861E">
      <w:pPr>
        <w:widowControl w:val="0"/>
        <w:autoSpaceDE w:val="0"/>
        <w:autoSpaceDN w:val="0"/>
        <w:adjustRightInd w:val="0"/>
        <w:spacing w:after="0" w:line="240" w:lineRule="auto"/>
        <w:ind w:left="220" w:hanging="220" w:hangingChars="110"/>
        <w:jc w:val="both"/>
        <w:rPr>
          <w:sz w:val="20"/>
          <w:szCs w:val="24"/>
        </w:rPr>
      </w:pPr>
      <w:r>
        <w:rPr>
          <w:sz w:val="20"/>
          <w:szCs w:val="24"/>
        </w:rPr>
        <w:t xml:space="preserve">Rizzo, C., Zammuto, V., Lo Giudice, A., Rizzo, M. G., Spanò, A., Laganà, P., Martinez, M., Guglielmino, S., &amp; Gugliandolo, C. (2021). Antibiofilm Activity of Antarctic Sponge-Associated Bacteria against </w:t>
      </w:r>
      <w:r>
        <w:rPr>
          <w:i/>
          <w:sz w:val="20"/>
          <w:szCs w:val="24"/>
        </w:rPr>
        <w:t>Pseudomonas aeruginosa</w:t>
      </w:r>
      <w:r>
        <w:rPr>
          <w:sz w:val="20"/>
          <w:szCs w:val="24"/>
        </w:rPr>
        <w:t xml:space="preserve"> and </w:t>
      </w:r>
      <w:r>
        <w:rPr>
          <w:i/>
          <w:sz w:val="20"/>
          <w:szCs w:val="24"/>
        </w:rPr>
        <w:t>Staphylococcus aureus</w:t>
      </w:r>
      <w:r>
        <w:rPr>
          <w:sz w:val="20"/>
          <w:szCs w:val="24"/>
        </w:rPr>
        <w:t xml:space="preserve">. </w:t>
      </w:r>
      <w:r>
        <w:rPr>
          <w:i/>
          <w:iCs/>
          <w:sz w:val="20"/>
          <w:szCs w:val="24"/>
        </w:rPr>
        <w:t>Journal of Marine Science and Engineering</w:t>
      </w:r>
      <w:r>
        <w:rPr>
          <w:sz w:val="20"/>
          <w:szCs w:val="24"/>
        </w:rPr>
        <w:t xml:space="preserve">, </w:t>
      </w:r>
      <w:r>
        <w:rPr>
          <w:i/>
          <w:iCs/>
          <w:sz w:val="20"/>
          <w:szCs w:val="24"/>
        </w:rPr>
        <w:t>9</w:t>
      </w:r>
      <w:r>
        <w:rPr>
          <w:sz w:val="20"/>
          <w:szCs w:val="24"/>
        </w:rPr>
        <w:t>(3), 243. https://doi.org/10.3390/JMSE9030243</w:t>
      </w:r>
    </w:p>
    <w:p w14:paraId="060A951F">
      <w:pPr>
        <w:widowControl w:val="0"/>
        <w:autoSpaceDE w:val="0"/>
        <w:autoSpaceDN w:val="0"/>
        <w:adjustRightInd w:val="0"/>
        <w:spacing w:after="0" w:line="240" w:lineRule="auto"/>
        <w:ind w:left="220" w:hanging="220" w:hangingChars="110"/>
        <w:jc w:val="both"/>
        <w:rPr>
          <w:sz w:val="20"/>
          <w:szCs w:val="24"/>
        </w:rPr>
      </w:pPr>
      <w:r>
        <w:rPr>
          <w:sz w:val="20"/>
          <w:szCs w:val="24"/>
        </w:rPr>
        <w:t xml:space="preserve">Saleem, A. A., Balakrishnan, G., &amp; Nandhagopal, M. (2024). Secondary Metabolites of </w:t>
      </w:r>
      <w:r>
        <w:rPr>
          <w:i/>
          <w:iCs/>
          <w:sz w:val="20"/>
          <w:szCs w:val="24"/>
        </w:rPr>
        <w:t xml:space="preserve">Halobacillus </w:t>
      </w:r>
      <w:r>
        <w:rPr>
          <w:sz w:val="20"/>
          <w:szCs w:val="24"/>
        </w:rPr>
        <w:t xml:space="preserve">sp.: Antimicrobial and Antioxidant Activity, Biological Compatibility, and Gas Chromatography-Mass Spectrometry (GC-MS) Analysis. </w:t>
      </w:r>
      <w:r>
        <w:rPr>
          <w:i/>
          <w:iCs/>
          <w:sz w:val="20"/>
          <w:szCs w:val="24"/>
        </w:rPr>
        <w:t>Cureus</w:t>
      </w:r>
      <w:r>
        <w:rPr>
          <w:sz w:val="20"/>
          <w:szCs w:val="24"/>
        </w:rPr>
        <w:t xml:space="preserve">, </w:t>
      </w:r>
      <w:r>
        <w:rPr>
          <w:i/>
          <w:iCs/>
          <w:sz w:val="20"/>
          <w:szCs w:val="24"/>
        </w:rPr>
        <w:t>16</w:t>
      </w:r>
      <w:r>
        <w:rPr>
          <w:sz w:val="20"/>
          <w:szCs w:val="24"/>
        </w:rPr>
        <w:t>(8). https://doi.org/10.7759/CUREUS.67246</w:t>
      </w:r>
    </w:p>
    <w:p w14:paraId="13864D24">
      <w:pPr>
        <w:widowControl w:val="0"/>
        <w:autoSpaceDE w:val="0"/>
        <w:autoSpaceDN w:val="0"/>
        <w:adjustRightInd w:val="0"/>
        <w:spacing w:after="0" w:line="240" w:lineRule="auto"/>
        <w:ind w:left="220" w:hanging="220" w:hangingChars="110"/>
        <w:jc w:val="both"/>
        <w:rPr>
          <w:sz w:val="20"/>
          <w:szCs w:val="24"/>
        </w:rPr>
      </w:pPr>
      <w:r>
        <w:rPr>
          <w:sz w:val="20"/>
          <w:szCs w:val="24"/>
        </w:rPr>
        <w:t xml:space="preserve">Saswita, H. M., Syamsuardi, S., Nurainas, N., Suwardi, A. B., &amp; Taufiq, A. (2023). Phylogenetic Analysis of </w:t>
      </w:r>
      <w:r>
        <w:rPr>
          <w:i/>
          <w:sz w:val="20"/>
          <w:szCs w:val="24"/>
        </w:rPr>
        <w:t>Baccaurea</w:t>
      </w:r>
      <w:r>
        <w:rPr>
          <w:sz w:val="20"/>
          <w:szCs w:val="24"/>
        </w:rPr>
        <w:t xml:space="preserve"> Spp. in West Sumatra Using MatK Molecular Markers. </w:t>
      </w:r>
      <w:r>
        <w:rPr>
          <w:i/>
          <w:iCs/>
          <w:sz w:val="20"/>
          <w:szCs w:val="24"/>
        </w:rPr>
        <w:t>Biosaintifika: Journal of Biology &amp; Biology Education</w:t>
      </w:r>
      <w:r>
        <w:rPr>
          <w:sz w:val="20"/>
          <w:szCs w:val="24"/>
        </w:rPr>
        <w:t xml:space="preserve">, </w:t>
      </w:r>
      <w:r>
        <w:rPr>
          <w:i/>
          <w:iCs/>
          <w:sz w:val="20"/>
          <w:szCs w:val="24"/>
        </w:rPr>
        <w:t>15</w:t>
      </w:r>
      <w:r>
        <w:rPr>
          <w:sz w:val="20"/>
          <w:szCs w:val="24"/>
        </w:rPr>
        <w:t>(3), 362–369. https://doi.org/10.15294/BIOSAINTIFIKA.V15I3.46051</w:t>
      </w:r>
    </w:p>
    <w:p w14:paraId="7095D730">
      <w:pPr>
        <w:widowControl w:val="0"/>
        <w:autoSpaceDE w:val="0"/>
        <w:autoSpaceDN w:val="0"/>
        <w:adjustRightInd w:val="0"/>
        <w:spacing w:after="0" w:line="240" w:lineRule="auto"/>
        <w:ind w:left="220" w:hanging="220" w:hangingChars="110"/>
        <w:jc w:val="both"/>
        <w:rPr>
          <w:sz w:val="20"/>
          <w:szCs w:val="24"/>
        </w:rPr>
      </w:pPr>
      <w:r>
        <w:rPr>
          <w:sz w:val="20"/>
          <w:szCs w:val="24"/>
        </w:rPr>
        <w:t xml:space="preserve">Sharma, S., Mohler, J., Mahajan, S. D., Schwartz, S. A., Bruggemann, L., &amp; Aalinkeel, R. (2023). Microbial Biofilm: A Review on Formation, Infection, Antibiotic Resistance, Control Measures, and Innovative Treatment. </w:t>
      </w:r>
      <w:r>
        <w:rPr>
          <w:i/>
          <w:iCs/>
          <w:sz w:val="20"/>
          <w:szCs w:val="24"/>
        </w:rPr>
        <w:t>Microorganisms,</w:t>
      </w:r>
      <w:r>
        <w:rPr>
          <w:i/>
          <w:iCs/>
          <w:sz w:val="20"/>
          <w:szCs w:val="24"/>
          <w:lang w:val="en-US"/>
        </w:rPr>
        <w:t xml:space="preserve"> </w:t>
      </w:r>
      <w:r>
        <w:rPr>
          <w:i/>
          <w:iCs/>
          <w:sz w:val="20"/>
          <w:szCs w:val="24"/>
        </w:rPr>
        <w:t>11</w:t>
      </w:r>
      <w:r>
        <w:rPr>
          <w:sz w:val="20"/>
          <w:szCs w:val="24"/>
        </w:rPr>
        <w:t>(6), 1614. https://doi.org/10.3390/MICROORGANISMS11061614</w:t>
      </w:r>
    </w:p>
    <w:p w14:paraId="26976297">
      <w:pPr>
        <w:widowControl w:val="0"/>
        <w:autoSpaceDE w:val="0"/>
        <w:autoSpaceDN w:val="0"/>
        <w:adjustRightInd w:val="0"/>
        <w:spacing w:after="0" w:line="240" w:lineRule="auto"/>
        <w:ind w:left="220" w:hanging="220" w:hangingChars="110"/>
        <w:jc w:val="both"/>
        <w:rPr>
          <w:sz w:val="20"/>
          <w:szCs w:val="24"/>
        </w:rPr>
      </w:pPr>
      <w:r>
        <w:rPr>
          <w:sz w:val="20"/>
          <w:szCs w:val="24"/>
        </w:rPr>
        <w:t xml:space="preserve">Tortorella, E., Tedesco, P., Esposito, F. P., January, G. G., Fani, R., Jaspars, M., &amp; De Pascale, D. (2018). Antibiotics from Deep-Sea Microorganisms: Current Discoveries and Perspectives. </w:t>
      </w:r>
      <w:r>
        <w:rPr>
          <w:i/>
          <w:iCs/>
          <w:sz w:val="20"/>
          <w:szCs w:val="24"/>
        </w:rPr>
        <w:t>Marine Drugs</w:t>
      </w:r>
      <w:r>
        <w:rPr>
          <w:sz w:val="20"/>
          <w:szCs w:val="24"/>
        </w:rPr>
        <w:t xml:space="preserve">, </w:t>
      </w:r>
      <w:r>
        <w:rPr>
          <w:i/>
          <w:iCs/>
          <w:sz w:val="20"/>
          <w:szCs w:val="24"/>
        </w:rPr>
        <w:t>16</w:t>
      </w:r>
      <w:r>
        <w:rPr>
          <w:sz w:val="20"/>
          <w:szCs w:val="24"/>
        </w:rPr>
        <w:t>(10). https://doi.org/10.3390/MD16100355</w:t>
      </w:r>
    </w:p>
    <w:p w14:paraId="7491EA81">
      <w:pPr>
        <w:widowControl w:val="0"/>
        <w:autoSpaceDE w:val="0"/>
        <w:autoSpaceDN w:val="0"/>
        <w:adjustRightInd w:val="0"/>
        <w:spacing w:after="0" w:line="240" w:lineRule="auto"/>
        <w:ind w:left="220" w:hanging="220" w:hangingChars="110"/>
        <w:jc w:val="both"/>
        <w:rPr>
          <w:sz w:val="20"/>
          <w:szCs w:val="24"/>
        </w:rPr>
      </w:pPr>
      <w:r>
        <w:rPr>
          <w:sz w:val="20"/>
          <w:szCs w:val="24"/>
        </w:rPr>
        <w:t>Townsley, L., &amp; Shank, E. A. (2017). Natural-product antibiotics: cues for modulating bacterial biofilm formation.</w:t>
      </w:r>
      <w:r>
        <w:rPr>
          <w:sz w:val="20"/>
          <w:szCs w:val="24"/>
          <w:lang w:val="en-US"/>
        </w:rPr>
        <w:t xml:space="preserve"> </w:t>
      </w:r>
      <w:r>
        <w:rPr>
          <w:i/>
          <w:iCs/>
          <w:sz w:val="20"/>
          <w:szCs w:val="24"/>
        </w:rPr>
        <w:t xml:space="preserve">Trends in </w:t>
      </w:r>
      <w:r>
        <w:rPr>
          <w:i/>
          <w:iCs/>
          <w:sz w:val="20"/>
          <w:szCs w:val="24"/>
          <w:lang w:val="en-US"/>
        </w:rPr>
        <w:t>M</w:t>
      </w:r>
      <w:r>
        <w:rPr>
          <w:i/>
          <w:iCs/>
          <w:sz w:val="20"/>
          <w:szCs w:val="24"/>
        </w:rPr>
        <w:t>icrobiology</w:t>
      </w:r>
      <w:r>
        <w:rPr>
          <w:sz w:val="20"/>
          <w:szCs w:val="24"/>
        </w:rPr>
        <w:t>,</w:t>
      </w:r>
      <w:r>
        <w:rPr>
          <w:sz w:val="20"/>
          <w:szCs w:val="24"/>
          <w:lang w:val="en-US"/>
        </w:rPr>
        <w:t xml:space="preserve"> </w:t>
      </w:r>
      <w:r>
        <w:rPr>
          <w:i/>
          <w:iCs/>
          <w:sz w:val="20"/>
          <w:szCs w:val="24"/>
        </w:rPr>
        <w:t>25</w:t>
      </w:r>
      <w:r>
        <w:rPr>
          <w:sz w:val="20"/>
          <w:szCs w:val="24"/>
        </w:rPr>
        <w:t>(12), 1016-1026.</w:t>
      </w:r>
    </w:p>
    <w:p w14:paraId="0A12764E">
      <w:pPr>
        <w:widowControl w:val="0"/>
        <w:autoSpaceDE w:val="0"/>
        <w:autoSpaceDN w:val="0"/>
        <w:adjustRightInd w:val="0"/>
        <w:spacing w:after="0" w:line="240" w:lineRule="auto"/>
        <w:ind w:left="220" w:hanging="220" w:hangingChars="110"/>
        <w:jc w:val="both"/>
        <w:rPr>
          <w:sz w:val="20"/>
          <w:szCs w:val="24"/>
        </w:rPr>
      </w:pPr>
      <w:r>
        <w:rPr>
          <w:sz w:val="20"/>
          <w:szCs w:val="24"/>
        </w:rPr>
        <w:t xml:space="preserve">Tyara Simbara, A., Faridatul Habibah, F., &amp; Hertadi, R. (2025). Rhamnolipid-Modified PHB–Ectoine Nanoparticles for Multifunctional Skin Protection Against UVB, Irritation, and Bacteria. </w:t>
      </w:r>
      <w:r>
        <w:rPr>
          <w:i/>
          <w:iCs/>
          <w:sz w:val="20"/>
          <w:szCs w:val="24"/>
        </w:rPr>
        <w:t>ACS omega, 10</w:t>
      </w:r>
      <w:r>
        <w:rPr>
          <w:sz w:val="20"/>
          <w:szCs w:val="24"/>
        </w:rPr>
        <w:t>(12), 12200-12213.</w:t>
      </w:r>
      <w:r>
        <w:t xml:space="preserve"> </w:t>
      </w:r>
      <w:r>
        <w:rPr>
          <w:sz w:val="20"/>
          <w:szCs w:val="24"/>
        </w:rPr>
        <w:t>https://doi.org/10.1021/acsomega.4c10583</w:t>
      </w:r>
    </w:p>
    <w:p w14:paraId="3BD290A7">
      <w:pPr>
        <w:widowControl w:val="0"/>
        <w:autoSpaceDE w:val="0"/>
        <w:autoSpaceDN w:val="0"/>
        <w:adjustRightInd w:val="0"/>
        <w:spacing w:after="0" w:line="240" w:lineRule="auto"/>
        <w:ind w:left="220" w:hanging="220" w:hangingChars="110"/>
        <w:jc w:val="both"/>
        <w:rPr>
          <w:sz w:val="20"/>
          <w:szCs w:val="24"/>
        </w:rPr>
      </w:pPr>
      <w:r>
        <w:rPr>
          <w:sz w:val="20"/>
          <w:szCs w:val="24"/>
        </w:rPr>
        <w:t xml:space="preserve">Upadhyaya, C., Patel, H., Patel, I., Ahir, P., &amp; Upadhyaya, T. (2024). Development of Biological Coating from Novel Halophilic Exopolysaccharide Exerting Shelf-Life-Prolonging and Biocontrol Actions for Post-Harvest Applications. </w:t>
      </w:r>
      <w:r>
        <w:rPr>
          <w:i/>
          <w:iCs/>
          <w:sz w:val="20"/>
          <w:szCs w:val="24"/>
        </w:rPr>
        <w:t>Molecules, 29</w:t>
      </w:r>
      <w:r>
        <w:rPr>
          <w:sz w:val="20"/>
          <w:szCs w:val="24"/>
        </w:rPr>
        <w:t>(3), 695. https://doi.org/10.3390/MOLECULES29030695</w:t>
      </w:r>
    </w:p>
    <w:p w14:paraId="542373E3">
      <w:pPr>
        <w:spacing w:after="0" w:line="240" w:lineRule="auto"/>
        <w:ind w:left="220" w:hanging="220" w:hangingChars="110"/>
        <w:jc w:val="both"/>
        <w:rPr>
          <w:sz w:val="20"/>
          <w:szCs w:val="20"/>
        </w:rPr>
      </w:pPr>
      <w:r>
        <w:rPr>
          <w:sz w:val="20"/>
          <w:szCs w:val="20"/>
        </w:rPr>
        <w:fldChar w:fldCharType="end"/>
      </w:r>
    </w:p>
    <w:sectPr>
      <w:type w:val="continuous"/>
      <w:pgSz w:w="11900" w:h="16840"/>
      <w:pgMar w:top="1418" w:right="1418" w:bottom="1418" w:left="1417" w:header="706" w:footer="706" w:gutter="0"/>
      <w:pgNumType w:fmt="decimal"/>
      <w:cols w:equalWidth="0" w:num="2">
        <w:col w:w="4320" w:space="425"/>
        <w:col w:w="432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embedRegular r:id="rId1" w:fontKey="{91F89B8B-D66E-43EB-91A4-22DC3D485343}"/>
  </w:font>
  <w:font w:name="Arial">
    <w:panose1 w:val="020B0604020202020204"/>
    <w:charset w:val="00"/>
    <w:family w:val="swiss"/>
    <w:pitch w:val="default"/>
    <w:sig w:usb0="E0002EFF" w:usb1="C000785B" w:usb2="00000009" w:usb3="00000000" w:csb0="400001FF" w:csb1="FFFF0000"/>
    <w:embedRegular r:id="rId2" w:fontKey="{C25C90BB-586D-47D8-A2E4-93DB75D61488}"/>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embedRegular r:id="rId3" w:fontKey="{42C9F134-88B0-4050-85DE-A5876A18B589}"/>
  </w:font>
  <w:font w:name="Wingdings">
    <w:panose1 w:val="05000000000000000000"/>
    <w:charset w:val="02"/>
    <w:family w:val="auto"/>
    <w:pitch w:val="default"/>
    <w:sig w:usb0="00000000" w:usb1="00000000" w:usb2="00000000" w:usb3="00000000" w:csb0="80000000" w:csb1="00000000"/>
    <w:embedRegular r:id="rId4" w:fontKey="{6EF9EE6D-14B0-4CCF-8CC5-C34FDB39EEBA}"/>
  </w:font>
  <w:font w:name="Calibri">
    <w:panose1 w:val="020F0502020204030204"/>
    <w:charset w:val="00"/>
    <w:family w:val="swiss"/>
    <w:pitch w:val="default"/>
    <w:sig w:usb0="E4002EFF" w:usb1="C200247B" w:usb2="00000009" w:usb3="00000000" w:csb0="200001FF" w:csb1="00000000"/>
    <w:embedRegular r:id="rId5" w:fontKey="{E9EE5E2C-8520-4C12-938C-9E3A02FEE325}"/>
  </w:font>
  <w:font w:name="MS Mincho">
    <w:panose1 w:val="02020609040205080304"/>
    <w:charset w:val="80"/>
    <w:family w:val="auto"/>
    <w:pitch w:val="default"/>
    <w:sig w:usb0="E00002FF" w:usb1="6AC7FDFB" w:usb2="08000012" w:usb3="00000000" w:csb0="4002009F" w:csb1="DFD70000"/>
  </w:font>
  <w:font w:name="Tahoma">
    <w:panose1 w:val="020B0604030504040204"/>
    <w:charset w:val="00"/>
    <w:family w:val="swiss"/>
    <w:pitch w:val="default"/>
    <w:sig w:usb0="E1002EFF" w:usb1="C000605B" w:usb2="00000029" w:usb3="00000000" w:csb0="200101FF" w:csb1="20280000"/>
    <w:embedRegular r:id="rId6" w:fontKey="{478871F8-B4AE-4151-8C2B-4028DCBA66C2}"/>
  </w:font>
  <w:font w:name="Verdana">
    <w:panose1 w:val="020B0604030504040204"/>
    <w:charset w:val="00"/>
    <w:family w:val="swiss"/>
    <w:pitch w:val="default"/>
    <w:sig w:usb0="A00006FF" w:usb1="4000205B" w:usb2="00000010" w:usb3="00000000" w:csb0="2000019F" w:csb1="00000000"/>
    <w:embedRegular r:id="rId7" w:fontKey="{2440BB23-9DCD-468D-BA6A-5BB6542F604F}"/>
  </w:font>
  <w:font w:name="Consolas">
    <w:panose1 w:val="020B0609020204030204"/>
    <w:charset w:val="00"/>
    <w:family w:val="modern"/>
    <w:pitch w:val="default"/>
    <w:sig w:usb0="E00006FF" w:usb1="0000FCFF" w:usb2="00000001" w:usb3="00000000" w:csb0="6000019F" w:csb1="DFD70000"/>
    <w:embedRegular r:id="rId8" w:fontKey="{8C7CB15C-C999-41E3-A558-10095D448773}"/>
  </w:font>
  <w:font w:name="Cambria">
    <w:panose1 w:val="02040503050406030204"/>
    <w:charset w:val="00"/>
    <w:family w:val="roman"/>
    <w:pitch w:val="default"/>
    <w:sig w:usb0="E00006FF" w:usb1="420024FF" w:usb2="02000000" w:usb3="00000000" w:csb0="2000019F" w:csb1="00000000"/>
    <w:embedRegular r:id="rId9" w:fontKey="{A8723BA3-664F-42BE-B237-B7CD259005E2}"/>
  </w:font>
  <w:font w:name="Malgun Gothic">
    <w:panose1 w:val="020B0503020000020004"/>
    <w:charset w:val="81"/>
    <w:family w:val="swiss"/>
    <w:pitch w:val="default"/>
    <w:sig w:usb0="9000002F" w:usb1="29D77CFB" w:usb2="00000012" w:usb3="00000000" w:csb0="00080001" w:csb1="00000000"/>
  </w:font>
  <w:font w:name="News Gothic">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embedRegular r:id="rId10" w:fontKey="{C5D709E4-1F08-4C2D-AFD2-E7B1FF1FC73D}"/>
  </w:font>
  <w:font w:name="ヒラギノ角ゴ Pro W3">
    <w:altName w:val="UD Digi Kyokasho N"/>
    <w:panose1 w:val="00000000000000000000"/>
    <w:charset w:val="80"/>
    <w:family w:val="roman"/>
    <w:pitch w:val="default"/>
    <w:sig w:usb0="00000000" w:usb1="00000000" w:usb2="00000000" w:usb3="00000000" w:csb0="00000000" w:csb1="00000000"/>
  </w:font>
  <w:font w:name="UD Digi Kyokasho N">
    <w:panose1 w:val="02020400000000000000"/>
    <w:charset w:val="80"/>
    <w:family w:val="auto"/>
    <w:pitch w:val="default"/>
    <w:sig w:usb0="800002A3" w:usb1="2AC7ECFA" w:usb2="00000010" w:usb3="00000000" w:csb0="00020000" w:csb1="00000000"/>
  </w:font>
  <w:font w:name="Helvetica">
    <w:altName w:val="Arial"/>
    <w:panose1 w:val="020B0604020202020204"/>
    <w:charset w:val="00"/>
    <w:family w:val="swiss"/>
    <w:pitch w:val="default"/>
    <w:sig w:usb0="00000000" w:usb1="00000000" w:usb2="00000009" w:usb3="00000000" w:csb0="000001FF" w:csb1="00000000"/>
    <w:embedRegular r:id="rId11" w:fontKey="{F1E0E66C-BEE1-4429-809C-7D63405B8590}"/>
  </w:font>
  <w:font w:name="Cambria Math">
    <w:panose1 w:val="02040503050406030204"/>
    <w:charset w:val="00"/>
    <w:family w:val="roman"/>
    <w:pitch w:val="default"/>
    <w:sig w:usb0="E00006FF" w:usb1="420024FF" w:usb2="02000000" w:usb3="00000000" w:csb0="2000019F" w:csb1="00000000"/>
    <w:embedRegular r:id="rId12" w:fontKey="{1C746111-7CD4-4F77-B685-2BE9F8EE9B2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B5A4B">
    <w:pPr>
      <w:tabs>
        <w:tab w:val="center" w:pos="4513"/>
        <w:tab w:val="right" w:pos="9026"/>
      </w:tabs>
      <w:spacing w:after="0" w:line="240" w:lineRule="auto"/>
      <w:ind w:hanging="2"/>
      <w:jc w:val="left"/>
      <w:rPr>
        <w:rFonts w:hint="default" w:ascii="Calibri" w:hAnsi="Calibri" w:cs="Calibri"/>
        <w:color w:val="000000"/>
        <w:sz w:val="20"/>
        <w:szCs w:val="20"/>
        <w:lang w:val="en-US"/>
      </w:rPr>
    </w:pPr>
    <w:r>
      <w:rPr>
        <w:rFonts w:hint="default" w:ascii="Calibri" w:hAnsi="Calibri" w:cs="Calibri"/>
        <w:sz w:val="20"/>
        <w:szCs w:val="20"/>
      </w:rPr>
      <mc:AlternateContent>
        <mc:Choice Requires="wps">
          <w:drawing>
            <wp:anchor distT="0" distB="0" distL="114300" distR="114300" simplePos="0" relativeHeight="251665408" behindDoc="0" locked="0" layoutInCell="1" allowOverlap="1">
              <wp:simplePos x="0" y="0"/>
              <wp:positionH relativeFrom="margin">
                <wp:posOffset>5702300</wp:posOffset>
              </wp:positionH>
              <wp:positionV relativeFrom="paragraph">
                <wp:posOffset>10795</wp:posOffset>
              </wp:positionV>
              <wp:extent cx="1828800" cy="1828800"/>
              <wp:effectExtent l="0" t="0" r="0" b="0"/>
              <wp:wrapNone/>
              <wp:docPr id="63" name="Text Box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C1E412">
                          <w:pPr>
                            <w:pStyle w:val="19"/>
                            <w:rPr>
                              <w:rFonts w:hint="default" w:ascii="Calibri" w:hAnsi="Calibri" w:cs="Calibri"/>
                              <w:sz w:val="20"/>
                              <w:szCs w:val="20"/>
                            </w:rPr>
                          </w:pPr>
                          <w:r>
                            <w:rPr>
                              <w:rFonts w:hint="default" w:ascii="Calibri" w:hAnsi="Calibri" w:cs="Calibri"/>
                              <w:sz w:val="20"/>
                              <w:szCs w:val="20"/>
                            </w:rPr>
                            <w:fldChar w:fldCharType="begin"/>
                          </w:r>
                          <w:r>
                            <w:rPr>
                              <w:rFonts w:hint="default" w:ascii="Calibri" w:hAnsi="Calibri" w:cs="Calibri"/>
                              <w:sz w:val="20"/>
                              <w:szCs w:val="20"/>
                            </w:rPr>
                            <w:instrText xml:space="preserve"> PAGE  \* MERGEFORMAT </w:instrText>
                          </w:r>
                          <w:r>
                            <w:rPr>
                              <w:rFonts w:hint="default" w:ascii="Calibri" w:hAnsi="Calibri" w:cs="Calibri"/>
                              <w:sz w:val="20"/>
                              <w:szCs w:val="20"/>
                            </w:rPr>
                            <w:fldChar w:fldCharType="separate"/>
                          </w:r>
                          <w:r>
                            <w:rPr>
                              <w:rFonts w:hint="default" w:ascii="Calibri" w:hAnsi="Calibri" w:cs="Calibri"/>
                              <w:sz w:val="20"/>
                              <w:szCs w:val="20"/>
                            </w:rPr>
                            <w:t>9</w:t>
                          </w:r>
                          <w:r>
                            <w:rPr>
                              <w:rFonts w:hint="default" w:ascii="Calibri" w:hAnsi="Calibri" w:cs="Calibri"/>
                              <w:sz w:val="20"/>
                              <w:szCs w:val="2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449pt;margin-top:0.85pt;height:144pt;width:144pt;mso-position-horizontal-relative:margin;mso-wrap-style:none;z-index:251665408;mso-width-relative:page;mso-height-relative:page;" filled="f" stroked="f" coordsize="21600,21600" o:gfxdata="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IVXWg3X&#10;AAAACgEAAA8AAAAAAAAAAQAgAAAAIgAAAGRycy9kb3ducmV2LnhtbFBLAQIUABQAAAAIAIdO4kAw&#10;NBz4IQIAAGIEAAAOAAAAAAAAAAEAIAAAACYBAABkcnMvZTJvRG9jLnhtbFBLBQYAAAAABgAGAFkB&#10;AAC5BQAAAAA=&#10;">
              <v:fill on="f" focussize="0,0"/>
              <v:stroke on="f" weight="0.5pt"/>
              <v:imagedata o:title=""/>
              <o:lock v:ext="edit" aspectratio="f"/>
              <v:textbox inset="0mm,0mm,0mm,0mm" style="mso-fit-shape-to-text:t;">
                <w:txbxContent>
                  <w:p w14:paraId="1FC1E412">
                    <w:pPr>
                      <w:pStyle w:val="19"/>
                      <w:rPr>
                        <w:rFonts w:hint="default" w:ascii="Calibri" w:hAnsi="Calibri" w:cs="Calibri"/>
                        <w:sz w:val="20"/>
                        <w:szCs w:val="20"/>
                      </w:rPr>
                    </w:pPr>
                    <w:r>
                      <w:rPr>
                        <w:rFonts w:hint="default" w:ascii="Calibri" w:hAnsi="Calibri" w:cs="Calibri"/>
                        <w:sz w:val="20"/>
                        <w:szCs w:val="20"/>
                      </w:rPr>
                      <w:fldChar w:fldCharType="begin"/>
                    </w:r>
                    <w:r>
                      <w:rPr>
                        <w:rFonts w:hint="default" w:ascii="Calibri" w:hAnsi="Calibri" w:cs="Calibri"/>
                        <w:sz w:val="20"/>
                        <w:szCs w:val="20"/>
                      </w:rPr>
                      <w:instrText xml:space="preserve"> PAGE  \* MERGEFORMAT </w:instrText>
                    </w:r>
                    <w:r>
                      <w:rPr>
                        <w:rFonts w:hint="default" w:ascii="Calibri" w:hAnsi="Calibri" w:cs="Calibri"/>
                        <w:sz w:val="20"/>
                        <w:szCs w:val="20"/>
                      </w:rPr>
                      <w:fldChar w:fldCharType="separate"/>
                    </w:r>
                    <w:r>
                      <w:rPr>
                        <w:rFonts w:hint="default" w:ascii="Calibri" w:hAnsi="Calibri" w:cs="Calibri"/>
                        <w:sz w:val="20"/>
                        <w:szCs w:val="20"/>
                      </w:rPr>
                      <w:t>9</w:t>
                    </w:r>
                    <w:r>
                      <w:rPr>
                        <w:rFonts w:hint="default" w:ascii="Calibri" w:hAnsi="Calibri" w:cs="Calibri"/>
                        <w:sz w:val="20"/>
                        <w:szCs w:val="20"/>
                      </w:rPr>
                      <w:fldChar w:fldCharType="end"/>
                    </w:r>
                  </w:p>
                </w:txbxContent>
              </v:textbox>
            </v:shape>
          </w:pict>
        </mc:Fallback>
      </mc:AlternateContent>
    </w:r>
    <w:r>
      <w:rPr>
        <w:rFonts w:hint="default" w:ascii="Calibri" w:hAnsi="Calibri" w:cs="Calibri"/>
        <w:color w:val="000000"/>
        <w:sz w:val="20"/>
        <w:szCs w:val="20"/>
        <w:lang w:val="en-US"/>
      </w:rPr>
      <w:t>Annales Bogorienses Vol. 29, No. 1, 2025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3D42D">
    <w:pPr>
      <w:tabs>
        <w:tab w:val="center" w:pos="4513"/>
        <w:tab w:val="right" w:pos="9026"/>
      </w:tabs>
      <w:spacing w:after="0" w:line="240" w:lineRule="auto"/>
      <w:ind w:hanging="2"/>
      <w:jc w:val="right"/>
      <w:rPr>
        <w:rFonts w:hint="default" w:ascii="Calibri" w:hAnsi="Calibri" w:cs="Calibri"/>
        <w:color w:val="000000"/>
        <w:sz w:val="20"/>
        <w:szCs w:val="20"/>
        <w:lang w:val="en-US"/>
      </w:rPr>
    </w:pPr>
    <w:r>
      <w:rPr>
        <w:rFonts w:hint="default" w:ascii="Calibri" w:hAnsi="Calibri" w:cs="Calibri"/>
        <w:sz w:val="20"/>
        <w:szCs w:val="20"/>
      </w:rPr>
      <mc:AlternateContent>
        <mc:Choice Requires="wps">
          <w:drawing>
            <wp:anchor distT="0" distB="0" distL="114300" distR="114300" simplePos="0" relativeHeight="251666432" behindDoc="0" locked="0" layoutInCell="1" allowOverlap="1">
              <wp:simplePos x="0" y="0"/>
              <wp:positionH relativeFrom="margin">
                <wp:posOffset>-16510</wp:posOffset>
              </wp:positionH>
              <wp:positionV relativeFrom="paragraph">
                <wp:posOffset>-22860</wp:posOffset>
              </wp:positionV>
              <wp:extent cx="1828800" cy="1828800"/>
              <wp:effectExtent l="0" t="0" r="0" b="0"/>
              <wp:wrapNone/>
              <wp:docPr id="64" name="Text Box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CEEE0A">
                          <w:pPr>
                            <w:pStyle w:val="19"/>
                            <w:rPr>
                              <w:rFonts w:hint="default" w:ascii="Calibri" w:hAnsi="Calibri" w:cs="Calibri"/>
                              <w:sz w:val="20"/>
                              <w:szCs w:val="20"/>
                            </w:rPr>
                          </w:pPr>
                          <w:r>
                            <w:rPr>
                              <w:rFonts w:hint="default" w:ascii="Calibri" w:hAnsi="Calibri" w:cs="Calibri"/>
                              <w:sz w:val="20"/>
                              <w:szCs w:val="20"/>
                            </w:rPr>
                            <w:fldChar w:fldCharType="begin"/>
                          </w:r>
                          <w:r>
                            <w:rPr>
                              <w:rFonts w:hint="default" w:ascii="Calibri" w:hAnsi="Calibri" w:cs="Calibri"/>
                              <w:sz w:val="20"/>
                              <w:szCs w:val="20"/>
                            </w:rPr>
                            <w:instrText xml:space="preserve"> PAGE  \* MERGEFORMAT </w:instrText>
                          </w:r>
                          <w:r>
                            <w:rPr>
                              <w:rFonts w:hint="default" w:ascii="Calibri" w:hAnsi="Calibri" w:cs="Calibri"/>
                              <w:sz w:val="20"/>
                              <w:szCs w:val="20"/>
                            </w:rPr>
                            <w:fldChar w:fldCharType="separate"/>
                          </w:r>
                          <w:r>
                            <w:rPr>
                              <w:rFonts w:hint="default" w:ascii="Calibri" w:hAnsi="Calibri" w:cs="Calibri"/>
                              <w:sz w:val="20"/>
                              <w:szCs w:val="20"/>
                            </w:rPr>
                            <w:t>10</w:t>
                          </w:r>
                          <w:r>
                            <w:rPr>
                              <w:rFonts w:hint="default" w:ascii="Calibri" w:hAnsi="Calibri" w:cs="Calibri"/>
                              <w:sz w:val="20"/>
                              <w:szCs w:val="2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3pt;margin-top:-1.8pt;height:144pt;width:144pt;mso-position-horizontal-relative:margin;mso-wrap-style:none;z-index:251666432;mso-width-relative:page;mso-height-relative:page;" filled="f" stroked="f" coordsize="21600,21600" o:gfxdata="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AfcYRjW&#10;AAAACQEAAA8AAAAAAAAAAQAgAAAAIgAAAGRycy9kb3ducmV2LnhtbFBLAQIUABQAAAAIAIdO4kBr&#10;OPddIgIAAGIEAAAOAAAAAAAAAAEAIAAAACUBAABkcnMvZTJvRG9jLnhtbFBLBQYAAAAABgAGAFkB&#10;AAC5BQAAAAA=&#10;">
              <v:fill on="f" focussize="0,0"/>
              <v:stroke on="f" weight="0.5pt"/>
              <v:imagedata o:title=""/>
              <o:lock v:ext="edit" aspectratio="f"/>
              <v:textbox inset="0mm,0mm,0mm,0mm" style="mso-fit-shape-to-text:t;">
                <w:txbxContent>
                  <w:p w14:paraId="55CEEE0A">
                    <w:pPr>
                      <w:pStyle w:val="19"/>
                      <w:rPr>
                        <w:rFonts w:hint="default" w:ascii="Calibri" w:hAnsi="Calibri" w:cs="Calibri"/>
                        <w:sz w:val="20"/>
                        <w:szCs w:val="20"/>
                      </w:rPr>
                    </w:pPr>
                    <w:r>
                      <w:rPr>
                        <w:rFonts w:hint="default" w:ascii="Calibri" w:hAnsi="Calibri" w:cs="Calibri"/>
                        <w:sz w:val="20"/>
                        <w:szCs w:val="20"/>
                      </w:rPr>
                      <w:fldChar w:fldCharType="begin"/>
                    </w:r>
                    <w:r>
                      <w:rPr>
                        <w:rFonts w:hint="default" w:ascii="Calibri" w:hAnsi="Calibri" w:cs="Calibri"/>
                        <w:sz w:val="20"/>
                        <w:szCs w:val="20"/>
                      </w:rPr>
                      <w:instrText xml:space="preserve"> PAGE  \* MERGEFORMAT </w:instrText>
                    </w:r>
                    <w:r>
                      <w:rPr>
                        <w:rFonts w:hint="default" w:ascii="Calibri" w:hAnsi="Calibri" w:cs="Calibri"/>
                        <w:sz w:val="20"/>
                        <w:szCs w:val="20"/>
                      </w:rPr>
                      <w:fldChar w:fldCharType="separate"/>
                    </w:r>
                    <w:r>
                      <w:rPr>
                        <w:rFonts w:hint="default" w:ascii="Calibri" w:hAnsi="Calibri" w:cs="Calibri"/>
                        <w:sz w:val="20"/>
                        <w:szCs w:val="20"/>
                      </w:rPr>
                      <w:t>10</w:t>
                    </w:r>
                    <w:r>
                      <w:rPr>
                        <w:rFonts w:hint="default" w:ascii="Calibri" w:hAnsi="Calibri" w:cs="Calibri"/>
                        <w:sz w:val="20"/>
                        <w:szCs w:val="20"/>
                      </w:rPr>
                      <w:fldChar w:fldCharType="end"/>
                    </w:r>
                  </w:p>
                </w:txbxContent>
              </v:textbox>
            </v:shape>
          </w:pict>
        </mc:Fallback>
      </mc:AlternateContent>
    </w:r>
    <w:r>
      <w:rPr>
        <w:rFonts w:hint="default" w:ascii="Calibri" w:hAnsi="Calibri" w:cs="Calibri"/>
        <w:color w:val="000000"/>
        <w:sz w:val="20"/>
        <w:szCs w:val="20"/>
        <w:lang w:val="en-US"/>
      </w:rPr>
      <w:t>Annales Bogorienses Vol. 29, No. 1, 2025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F0534">
    <w:pPr>
      <w:tabs>
        <w:tab w:val="center" w:pos="4513"/>
        <w:tab w:val="right" w:pos="9026"/>
      </w:tabs>
      <w:spacing w:after="0" w:line="240" w:lineRule="auto"/>
      <w:ind w:hanging="2"/>
      <w:jc w:val="left"/>
      <w:rPr>
        <w:rFonts w:hint="default" w:ascii="Calibri" w:hAnsi="Calibri" w:cs="Calibri"/>
        <w:color w:val="000000"/>
        <w:sz w:val="20"/>
        <w:szCs w:val="20"/>
        <w:lang w:val="en-US"/>
      </w:rPr>
    </w:pPr>
    <w:r>
      <w:rPr>
        <w:rFonts w:hint="default" w:ascii="Calibri" w:hAnsi="Calibri" w:cs="Calibri"/>
        <w:sz w:val="20"/>
        <w:szCs w:val="20"/>
      </w:rPr>
      <mc:AlternateContent>
        <mc:Choice Requires="wps">
          <w:drawing>
            <wp:anchor distT="0" distB="0" distL="114300" distR="114300" simplePos="0" relativeHeight="251667456" behindDoc="0" locked="0" layoutInCell="1" allowOverlap="1">
              <wp:simplePos x="0" y="0"/>
              <wp:positionH relativeFrom="margin">
                <wp:posOffset>5702300</wp:posOffset>
              </wp:positionH>
              <wp:positionV relativeFrom="paragraph">
                <wp:posOffset>10795</wp:posOffset>
              </wp:positionV>
              <wp:extent cx="1828800" cy="1828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5C4789">
                          <w:pPr>
                            <w:pStyle w:val="19"/>
                            <w:rPr>
                              <w:rFonts w:hint="default" w:ascii="Calibri" w:hAnsi="Calibri" w:cs="Calibri"/>
                              <w:sz w:val="20"/>
                              <w:szCs w:val="20"/>
                            </w:rPr>
                          </w:pPr>
                          <w:r>
                            <w:rPr>
                              <w:rFonts w:hint="default" w:ascii="Calibri" w:hAnsi="Calibri" w:cs="Calibri"/>
                              <w:sz w:val="20"/>
                              <w:szCs w:val="20"/>
                            </w:rPr>
                            <w:fldChar w:fldCharType="begin"/>
                          </w:r>
                          <w:r>
                            <w:rPr>
                              <w:rFonts w:hint="default" w:ascii="Calibri" w:hAnsi="Calibri" w:cs="Calibri"/>
                              <w:sz w:val="20"/>
                              <w:szCs w:val="20"/>
                            </w:rPr>
                            <w:instrText xml:space="preserve"> PAGE  \* MERGEFORMAT </w:instrText>
                          </w:r>
                          <w:r>
                            <w:rPr>
                              <w:rFonts w:hint="default" w:ascii="Calibri" w:hAnsi="Calibri" w:cs="Calibri"/>
                              <w:sz w:val="20"/>
                              <w:szCs w:val="20"/>
                            </w:rPr>
                            <w:fldChar w:fldCharType="separate"/>
                          </w:r>
                          <w:r>
                            <w:rPr>
                              <w:rFonts w:hint="default" w:ascii="Calibri" w:hAnsi="Calibri" w:cs="Calibri"/>
                              <w:sz w:val="20"/>
                              <w:szCs w:val="20"/>
                            </w:rPr>
                            <w:t>9</w:t>
                          </w:r>
                          <w:r>
                            <w:rPr>
                              <w:rFonts w:hint="default" w:ascii="Calibri" w:hAnsi="Calibri" w:cs="Calibri"/>
                              <w:sz w:val="20"/>
                              <w:szCs w:val="2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449pt;margin-top:0.85pt;height:144pt;width:144pt;mso-position-horizontal-relative:margin;mso-wrap-style:none;z-index:251667456;mso-width-relative:page;mso-height-relative:page;" filled="f" stroked="f" coordsize="21600,21600" o:gfxdata="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IVXWg3X&#10;AAAACgEAAA8AAAAAAAAAAQAgAAAAIgAAAGRycy9kb3ducmV2LnhtbFBLAQIUABQAAAAIAIdO4kCS&#10;7hlKIQIAAGAEAAAOAAAAAAAAAAEAIAAAACYBAABkcnMvZTJvRG9jLnhtbFBLBQYAAAAABgAGAFkB&#10;AAC5BQAAAAA=&#10;">
              <v:fill on="f" focussize="0,0"/>
              <v:stroke on="f" weight="0.5pt"/>
              <v:imagedata o:title=""/>
              <o:lock v:ext="edit" aspectratio="f"/>
              <v:textbox inset="0mm,0mm,0mm,0mm" style="mso-fit-shape-to-text:t;">
                <w:txbxContent>
                  <w:p w14:paraId="385C4789">
                    <w:pPr>
                      <w:pStyle w:val="19"/>
                      <w:rPr>
                        <w:rFonts w:hint="default" w:ascii="Calibri" w:hAnsi="Calibri" w:cs="Calibri"/>
                        <w:sz w:val="20"/>
                        <w:szCs w:val="20"/>
                      </w:rPr>
                    </w:pPr>
                    <w:r>
                      <w:rPr>
                        <w:rFonts w:hint="default" w:ascii="Calibri" w:hAnsi="Calibri" w:cs="Calibri"/>
                        <w:sz w:val="20"/>
                        <w:szCs w:val="20"/>
                      </w:rPr>
                      <w:fldChar w:fldCharType="begin"/>
                    </w:r>
                    <w:r>
                      <w:rPr>
                        <w:rFonts w:hint="default" w:ascii="Calibri" w:hAnsi="Calibri" w:cs="Calibri"/>
                        <w:sz w:val="20"/>
                        <w:szCs w:val="20"/>
                      </w:rPr>
                      <w:instrText xml:space="preserve"> PAGE  \* MERGEFORMAT </w:instrText>
                    </w:r>
                    <w:r>
                      <w:rPr>
                        <w:rFonts w:hint="default" w:ascii="Calibri" w:hAnsi="Calibri" w:cs="Calibri"/>
                        <w:sz w:val="20"/>
                        <w:szCs w:val="20"/>
                      </w:rPr>
                      <w:fldChar w:fldCharType="separate"/>
                    </w:r>
                    <w:r>
                      <w:rPr>
                        <w:rFonts w:hint="default" w:ascii="Calibri" w:hAnsi="Calibri" w:cs="Calibri"/>
                        <w:sz w:val="20"/>
                        <w:szCs w:val="20"/>
                      </w:rPr>
                      <w:t>9</w:t>
                    </w:r>
                    <w:r>
                      <w:rPr>
                        <w:rFonts w:hint="default" w:ascii="Calibri" w:hAnsi="Calibri" w:cs="Calibri"/>
                        <w:sz w:val="20"/>
                        <w:szCs w:val="20"/>
                      </w:rPr>
                      <w:fldChar w:fldCharType="end"/>
                    </w:r>
                  </w:p>
                </w:txbxContent>
              </v:textbox>
            </v:shape>
          </w:pict>
        </mc:Fallback>
      </mc:AlternateContent>
    </w:r>
    <w:r>
      <w:rPr>
        <w:rFonts w:hint="default" w:ascii="Calibri" w:hAnsi="Calibri" w:cs="Calibri"/>
        <w:color w:val="000000"/>
        <w:sz w:val="20"/>
        <w:szCs w:val="20"/>
        <w:lang w:val="en-US"/>
      </w:rPr>
      <w:t>Annales Bogorienses Vol. 29, No. 1, 2025</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C8E97">
    <w:pPr>
      <w:tabs>
        <w:tab w:val="center" w:pos="4513"/>
        <w:tab w:val="right" w:pos="9026"/>
      </w:tabs>
      <w:spacing w:after="0" w:line="240" w:lineRule="auto"/>
      <w:ind w:hanging="2"/>
      <w:jc w:val="right"/>
      <w:rPr>
        <w:rFonts w:hint="default" w:ascii="Calibri" w:hAnsi="Calibri" w:cs="Calibri"/>
        <w:color w:val="000000"/>
        <w:sz w:val="20"/>
        <w:szCs w:val="20"/>
        <w:lang w:val="en-US"/>
      </w:rPr>
    </w:pPr>
    <w:r>
      <w:rPr>
        <w:rFonts w:hint="default" w:ascii="Calibri" w:hAnsi="Calibri" w:cs="Calibri"/>
        <w:sz w:val="20"/>
        <w:szCs w:val="20"/>
      </w:rPr>
      <mc:AlternateContent>
        <mc:Choice Requires="wps">
          <w:drawing>
            <wp:anchor distT="0" distB="0" distL="114300" distR="114300" simplePos="0" relativeHeight="251668480" behindDoc="0" locked="0" layoutInCell="1" allowOverlap="1">
              <wp:simplePos x="0" y="0"/>
              <wp:positionH relativeFrom="margin">
                <wp:posOffset>-16510</wp:posOffset>
              </wp:positionH>
              <wp:positionV relativeFrom="paragraph">
                <wp:posOffset>-22860</wp:posOffset>
              </wp:positionV>
              <wp:extent cx="1828800" cy="1828800"/>
              <wp:effectExtent l="0" t="0" r="0" b="0"/>
              <wp:wrapNone/>
              <wp:docPr id="7" name="Text Box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E9683C">
                          <w:pPr>
                            <w:pStyle w:val="19"/>
                            <w:rPr>
                              <w:rFonts w:hint="default" w:ascii="Calibri" w:hAnsi="Calibri" w:cs="Calibri"/>
                              <w:sz w:val="20"/>
                              <w:szCs w:val="20"/>
                            </w:rPr>
                          </w:pPr>
                          <w:r>
                            <w:rPr>
                              <w:rFonts w:hint="default" w:ascii="Calibri" w:hAnsi="Calibri" w:cs="Calibri"/>
                              <w:sz w:val="20"/>
                              <w:szCs w:val="20"/>
                            </w:rPr>
                            <w:fldChar w:fldCharType="begin"/>
                          </w:r>
                          <w:r>
                            <w:rPr>
                              <w:rFonts w:hint="default" w:ascii="Calibri" w:hAnsi="Calibri" w:cs="Calibri"/>
                              <w:sz w:val="20"/>
                              <w:szCs w:val="20"/>
                            </w:rPr>
                            <w:instrText xml:space="preserve"> PAGE  \* MERGEFORMAT </w:instrText>
                          </w:r>
                          <w:r>
                            <w:rPr>
                              <w:rFonts w:hint="default" w:ascii="Calibri" w:hAnsi="Calibri" w:cs="Calibri"/>
                              <w:sz w:val="20"/>
                              <w:szCs w:val="20"/>
                            </w:rPr>
                            <w:fldChar w:fldCharType="separate"/>
                          </w:r>
                          <w:r>
                            <w:rPr>
                              <w:rFonts w:hint="default" w:ascii="Calibri" w:hAnsi="Calibri" w:cs="Calibri"/>
                              <w:sz w:val="20"/>
                              <w:szCs w:val="20"/>
                            </w:rPr>
                            <w:t>10</w:t>
                          </w:r>
                          <w:r>
                            <w:rPr>
                              <w:rFonts w:hint="default" w:ascii="Calibri" w:hAnsi="Calibri" w:cs="Calibri"/>
                              <w:sz w:val="20"/>
                              <w:szCs w:val="2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3pt;margin-top:-1.8pt;height:144pt;width:144pt;mso-position-horizontal-relative:margin;mso-wrap-style:none;z-index:251668480;mso-width-relative:page;mso-height-relative:page;" filled="f" stroked="f" coordsize="21600,21600" o:gfxdata="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AfcYRjW&#10;AAAACQEAAA8AAAAAAAAAAQAgAAAAIgAAAGRycy9kb3ducmV2LnhtbFBLAQIUABQAAAAIAIdO4kBP&#10;b5HwIgIAAGAEAAAOAAAAAAAAAAEAIAAAACUBAABkcnMvZTJvRG9jLnhtbFBLBQYAAAAABgAGAFkB&#10;AAC5BQAAAAA=&#10;">
              <v:fill on="f" focussize="0,0"/>
              <v:stroke on="f" weight="0.5pt"/>
              <v:imagedata o:title=""/>
              <o:lock v:ext="edit" aspectratio="f"/>
              <v:textbox inset="0mm,0mm,0mm,0mm" style="mso-fit-shape-to-text:t;">
                <w:txbxContent>
                  <w:p w14:paraId="37E9683C">
                    <w:pPr>
                      <w:pStyle w:val="19"/>
                      <w:rPr>
                        <w:rFonts w:hint="default" w:ascii="Calibri" w:hAnsi="Calibri" w:cs="Calibri"/>
                        <w:sz w:val="20"/>
                        <w:szCs w:val="20"/>
                      </w:rPr>
                    </w:pPr>
                    <w:r>
                      <w:rPr>
                        <w:rFonts w:hint="default" w:ascii="Calibri" w:hAnsi="Calibri" w:cs="Calibri"/>
                        <w:sz w:val="20"/>
                        <w:szCs w:val="20"/>
                      </w:rPr>
                      <w:fldChar w:fldCharType="begin"/>
                    </w:r>
                    <w:r>
                      <w:rPr>
                        <w:rFonts w:hint="default" w:ascii="Calibri" w:hAnsi="Calibri" w:cs="Calibri"/>
                        <w:sz w:val="20"/>
                        <w:szCs w:val="20"/>
                      </w:rPr>
                      <w:instrText xml:space="preserve"> PAGE  \* MERGEFORMAT </w:instrText>
                    </w:r>
                    <w:r>
                      <w:rPr>
                        <w:rFonts w:hint="default" w:ascii="Calibri" w:hAnsi="Calibri" w:cs="Calibri"/>
                        <w:sz w:val="20"/>
                        <w:szCs w:val="20"/>
                      </w:rPr>
                      <w:fldChar w:fldCharType="separate"/>
                    </w:r>
                    <w:r>
                      <w:rPr>
                        <w:rFonts w:hint="default" w:ascii="Calibri" w:hAnsi="Calibri" w:cs="Calibri"/>
                        <w:sz w:val="20"/>
                        <w:szCs w:val="20"/>
                      </w:rPr>
                      <w:t>10</w:t>
                    </w:r>
                    <w:r>
                      <w:rPr>
                        <w:rFonts w:hint="default" w:ascii="Calibri" w:hAnsi="Calibri" w:cs="Calibri"/>
                        <w:sz w:val="20"/>
                        <w:szCs w:val="20"/>
                      </w:rPr>
                      <w:fldChar w:fldCharType="end"/>
                    </w:r>
                  </w:p>
                </w:txbxContent>
              </v:textbox>
            </v:shape>
          </w:pict>
        </mc:Fallback>
      </mc:AlternateContent>
    </w:r>
    <w:r>
      <w:rPr>
        <w:rFonts w:hint="default" w:ascii="Calibri" w:hAnsi="Calibri" w:cs="Calibri"/>
        <w:color w:val="000000"/>
        <w:sz w:val="20"/>
        <w:szCs w:val="20"/>
        <w:lang w:val="en-US"/>
      </w:rPr>
      <w:t>Annales Bogorienses Vol. 29, No. 1, 2025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documentProtection w:enforcement="0"/>
  <w:defaultTabStop w:val="720"/>
  <w:evenAndOddHeaders w:val="1"/>
  <w:noPunctuationKerning w:val="1"/>
  <w:characterSpacingControl w:val="doNotCompress"/>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CD2"/>
    <w:rsid w:val="0002623A"/>
    <w:rsid w:val="000564B9"/>
    <w:rsid w:val="00056740"/>
    <w:rsid w:val="000571D3"/>
    <w:rsid w:val="000755A1"/>
    <w:rsid w:val="00091532"/>
    <w:rsid w:val="000966C3"/>
    <w:rsid w:val="000A35FA"/>
    <w:rsid w:val="000A6725"/>
    <w:rsid w:val="000A7E33"/>
    <w:rsid w:val="000B396F"/>
    <w:rsid w:val="000C57AD"/>
    <w:rsid w:val="000C5835"/>
    <w:rsid w:val="000C77FD"/>
    <w:rsid w:val="000C7FDC"/>
    <w:rsid w:val="000D1554"/>
    <w:rsid w:val="000D28B4"/>
    <w:rsid w:val="000D3427"/>
    <w:rsid w:val="000D6FD9"/>
    <w:rsid w:val="000F2A2A"/>
    <w:rsid w:val="000F5EED"/>
    <w:rsid w:val="001033FF"/>
    <w:rsid w:val="00105472"/>
    <w:rsid w:val="001141CA"/>
    <w:rsid w:val="0011423A"/>
    <w:rsid w:val="001163F5"/>
    <w:rsid w:val="001544CD"/>
    <w:rsid w:val="00160435"/>
    <w:rsid w:val="0017015E"/>
    <w:rsid w:val="0017644E"/>
    <w:rsid w:val="00184EBB"/>
    <w:rsid w:val="001A0672"/>
    <w:rsid w:val="001A284B"/>
    <w:rsid w:val="001B0E35"/>
    <w:rsid w:val="001B1D9E"/>
    <w:rsid w:val="001B2017"/>
    <w:rsid w:val="001D64E7"/>
    <w:rsid w:val="001E7E15"/>
    <w:rsid w:val="0020017C"/>
    <w:rsid w:val="002146B8"/>
    <w:rsid w:val="00226E6D"/>
    <w:rsid w:val="00232331"/>
    <w:rsid w:val="00233E6C"/>
    <w:rsid w:val="00237387"/>
    <w:rsid w:val="00262F15"/>
    <w:rsid w:val="002632B2"/>
    <w:rsid w:val="00272BA7"/>
    <w:rsid w:val="002730BA"/>
    <w:rsid w:val="002735E4"/>
    <w:rsid w:val="00274CC0"/>
    <w:rsid w:val="0027701E"/>
    <w:rsid w:val="00294F53"/>
    <w:rsid w:val="002C7891"/>
    <w:rsid w:val="002F3244"/>
    <w:rsid w:val="002F4041"/>
    <w:rsid w:val="0030486C"/>
    <w:rsid w:val="003203FA"/>
    <w:rsid w:val="00320892"/>
    <w:rsid w:val="00327C8F"/>
    <w:rsid w:val="00340CDB"/>
    <w:rsid w:val="003427D9"/>
    <w:rsid w:val="003609E2"/>
    <w:rsid w:val="003622C8"/>
    <w:rsid w:val="00384153"/>
    <w:rsid w:val="003916EE"/>
    <w:rsid w:val="00392627"/>
    <w:rsid w:val="00394759"/>
    <w:rsid w:val="003A72D8"/>
    <w:rsid w:val="003A7F28"/>
    <w:rsid w:val="003B0168"/>
    <w:rsid w:val="003C4CC7"/>
    <w:rsid w:val="003D1A7C"/>
    <w:rsid w:val="003E07AF"/>
    <w:rsid w:val="003E6B0F"/>
    <w:rsid w:val="003F7CD2"/>
    <w:rsid w:val="00406B08"/>
    <w:rsid w:val="0041128A"/>
    <w:rsid w:val="0042365B"/>
    <w:rsid w:val="00431CB0"/>
    <w:rsid w:val="00435EA9"/>
    <w:rsid w:val="00444EE8"/>
    <w:rsid w:val="0044521D"/>
    <w:rsid w:val="00447B2B"/>
    <w:rsid w:val="0045104D"/>
    <w:rsid w:val="00451FE5"/>
    <w:rsid w:val="004712E9"/>
    <w:rsid w:val="00474055"/>
    <w:rsid w:val="00487A5E"/>
    <w:rsid w:val="0049053E"/>
    <w:rsid w:val="0049170B"/>
    <w:rsid w:val="004A6B08"/>
    <w:rsid w:val="004D419D"/>
    <w:rsid w:val="004F2608"/>
    <w:rsid w:val="00516496"/>
    <w:rsid w:val="00523734"/>
    <w:rsid w:val="00532899"/>
    <w:rsid w:val="00534BFB"/>
    <w:rsid w:val="00540A44"/>
    <w:rsid w:val="00553994"/>
    <w:rsid w:val="005832F0"/>
    <w:rsid w:val="005846B1"/>
    <w:rsid w:val="00595EE5"/>
    <w:rsid w:val="005A05C6"/>
    <w:rsid w:val="005C1919"/>
    <w:rsid w:val="005D570D"/>
    <w:rsid w:val="005E4643"/>
    <w:rsid w:val="005E5998"/>
    <w:rsid w:val="005F016B"/>
    <w:rsid w:val="005F37AE"/>
    <w:rsid w:val="00603074"/>
    <w:rsid w:val="00614281"/>
    <w:rsid w:val="006338C0"/>
    <w:rsid w:val="00637DCF"/>
    <w:rsid w:val="006412F9"/>
    <w:rsid w:val="006516A6"/>
    <w:rsid w:val="00653661"/>
    <w:rsid w:val="00662B56"/>
    <w:rsid w:val="00663F36"/>
    <w:rsid w:val="00673DB8"/>
    <w:rsid w:val="00674775"/>
    <w:rsid w:val="00684E69"/>
    <w:rsid w:val="006C1CDB"/>
    <w:rsid w:val="006D3032"/>
    <w:rsid w:val="007049C4"/>
    <w:rsid w:val="0070514F"/>
    <w:rsid w:val="00724937"/>
    <w:rsid w:val="00727F77"/>
    <w:rsid w:val="00732F74"/>
    <w:rsid w:val="00747089"/>
    <w:rsid w:val="007524A2"/>
    <w:rsid w:val="00767E9D"/>
    <w:rsid w:val="00776776"/>
    <w:rsid w:val="007A1A0D"/>
    <w:rsid w:val="007B4993"/>
    <w:rsid w:val="007C1490"/>
    <w:rsid w:val="007C7F46"/>
    <w:rsid w:val="007D76E2"/>
    <w:rsid w:val="007E1F01"/>
    <w:rsid w:val="007E3E36"/>
    <w:rsid w:val="007E408C"/>
    <w:rsid w:val="007E4C13"/>
    <w:rsid w:val="007E579E"/>
    <w:rsid w:val="007F0885"/>
    <w:rsid w:val="00806F88"/>
    <w:rsid w:val="0083354D"/>
    <w:rsid w:val="008451F0"/>
    <w:rsid w:val="00863829"/>
    <w:rsid w:val="00874063"/>
    <w:rsid w:val="008755FF"/>
    <w:rsid w:val="00894658"/>
    <w:rsid w:val="008B2C79"/>
    <w:rsid w:val="008B7985"/>
    <w:rsid w:val="008B7A17"/>
    <w:rsid w:val="008D49F3"/>
    <w:rsid w:val="008D77BA"/>
    <w:rsid w:val="008E5BD5"/>
    <w:rsid w:val="008E6454"/>
    <w:rsid w:val="008F22D6"/>
    <w:rsid w:val="00901764"/>
    <w:rsid w:val="009031AA"/>
    <w:rsid w:val="009127FC"/>
    <w:rsid w:val="00920BC0"/>
    <w:rsid w:val="0092214B"/>
    <w:rsid w:val="00935575"/>
    <w:rsid w:val="0096313C"/>
    <w:rsid w:val="009775BA"/>
    <w:rsid w:val="00977891"/>
    <w:rsid w:val="00985AF3"/>
    <w:rsid w:val="0098679D"/>
    <w:rsid w:val="00990EFD"/>
    <w:rsid w:val="0099104B"/>
    <w:rsid w:val="00995020"/>
    <w:rsid w:val="0099516C"/>
    <w:rsid w:val="009A6174"/>
    <w:rsid w:val="009B04BA"/>
    <w:rsid w:val="009C65CC"/>
    <w:rsid w:val="009C74BD"/>
    <w:rsid w:val="009F1B22"/>
    <w:rsid w:val="009F7A8B"/>
    <w:rsid w:val="00A04996"/>
    <w:rsid w:val="00A06967"/>
    <w:rsid w:val="00A074A3"/>
    <w:rsid w:val="00A409F6"/>
    <w:rsid w:val="00A66FFD"/>
    <w:rsid w:val="00A91C4C"/>
    <w:rsid w:val="00A91F69"/>
    <w:rsid w:val="00AA08F6"/>
    <w:rsid w:val="00AB2750"/>
    <w:rsid w:val="00AB3915"/>
    <w:rsid w:val="00AC57C5"/>
    <w:rsid w:val="00AE10A8"/>
    <w:rsid w:val="00AF0C11"/>
    <w:rsid w:val="00B32A5F"/>
    <w:rsid w:val="00B47434"/>
    <w:rsid w:val="00B54C08"/>
    <w:rsid w:val="00B64951"/>
    <w:rsid w:val="00B8576C"/>
    <w:rsid w:val="00B91F35"/>
    <w:rsid w:val="00B948A4"/>
    <w:rsid w:val="00B9762C"/>
    <w:rsid w:val="00BA5508"/>
    <w:rsid w:val="00BB6434"/>
    <w:rsid w:val="00BC31DE"/>
    <w:rsid w:val="00BC4118"/>
    <w:rsid w:val="00BD0580"/>
    <w:rsid w:val="00BD59FE"/>
    <w:rsid w:val="00BD6D28"/>
    <w:rsid w:val="00BE1116"/>
    <w:rsid w:val="00BF1FA9"/>
    <w:rsid w:val="00C03EAB"/>
    <w:rsid w:val="00C166C4"/>
    <w:rsid w:val="00C22700"/>
    <w:rsid w:val="00C3008E"/>
    <w:rsid w:val="00C41254"/>
    <w:rsid w:val="00C446FC"/>
    <w:rsid w:val="00C54482"/>
    <w:rsid w:val="00C54550"/>
    <w:rsid w:val="00C677D0"/>
    <w:rsid w:val="00C6789E"/>
    <w:rsid w:val="00C84359"/>
    <w:rsid w:val="00C90D7C"/>
    <w:rsid w:val="00C91FC5"/>
    <w:rsid w:val="00CB0C87"/>
    <w:rsid w:val="00CC019C"/>
    <w:rsid w:val="00CC037A"/>
    <w:rsid w:val="00CC1D92"/>
    <w:rsid w:val="00CC27F3"/>
    <w:rsid w:val="00CC36D3"/>
    <w:rsid w:val="00CD3060"/>
    <w:rsid w:val="00CD4586"/>
    <w:rsid w:val="00CE2C0F"/>
    <w:rsid w:val="00D10008"/>
    <w:rsid w:val="00D2515D"/>
    <w:rsid w:val="00D3006B"/>
    <w:rsid w:val="00D330F2"/>
    <w:rsid w:val="00D35F65"/>
    <w:rsid w:val="00D45D6D"/>
    <w:rsid w:val="00D51687"/>
    <w:rsid w:val="00D52B16"/>
    <w:rsid w:val="00D56A02"/>
    <w:rsid w:val="00D74C2C"/>
    <w:rsid w:val="00DA3E0F"/>
    <w:rsid w:val="00DB53FC"/>
    <w:rsid w:val="00DC089A"/>
    <w:rsid w:val="00DC08F4"/>
    <w:rsid w:val="00DD1591"/>
    <w:rsid w:val="00DD232F"/>
    <w:rsid w:val="00DF4487"/>
    <w:rsid w:val="00E010CC"/>
    <w:rsid w:val="00E06D45"/>
    <w:rsid w:val="00E1737D"/>
    <w:rsid w:val="00E22050"/>
    <w:rsid w:val="00E37D55"/>
    <w:rsid w:val="00E403D2"/>
    <w:rsid w:val="00E41C87"/>
    <w:rsid w:val="00E425CA"/>
    <w:rsid w:val="00E42783"/>
    <w:rsid w:val="00E475A2"/>
    <w:rsid w:val="00E500EE"/>
    <w:rsid w:val="00E546D7"/>
    <w:rsid w:val="00E5680B"/>
    <w:rsid w:val="00E62830"/>
    <w:rsid w:val="00E6497B"/>
    <w:rsid w:val="00E6584F"/>
    <w:rsid w:val="00E93A8B"/>
    <w:rsid w:val="00E9488B"/>
    <w:rsid w:val="00EB67D3"/>
    <w:rsid w:val="00EC01F5"/>
    <w:rsid w:val="00EC6D4B"/>
    <w:rsid w:val="00ED0206"/>
    <w:rsid w:val="00ED2C46"/>
    <w:rsid w:val="00EE72A2"/>
    <w:rsid w:val="00EF1649"/>
    <w:rsid w:val="00EF706D"/>
    <w:rsid w:val="00F04F4C"/>
    <w:rsid w:val="00F11F81"/>
    <w:rsid w:val="00F131C9"/>
    <w:rsid w:val="00F32BA7"/>
    <w:rsid w:val="00F56326"/>
    <w:rsid w:val="00F5710E"/>
    <w:rsid w:val="00F86551"/>
    <w:rsid w:val="00FD614B"/>
    <w:rsid w:val="071F528F"/>
    <w:rsid w:val="12FC701A"/>
    <w:rsid w:val="139E1AC8"/>
    <w:rsid w:val="249C73E1"/>
    <w:rsid w:val="2CD93087"/>
    <w:rsid w:val="2F0629D4"/>
    <w:rsid w:val="3E4C0DCD"/>
    <w:rsid w:val="46943D82"/>
    <w:rsid w:val="484F022F"/>
    <w:rsid w:val="4BCB5F67"/>
    <w:rsid w:val="5E1B78E8"/>
    <w:rsid w:val="60225DE7"/>
    <w:rsid w:val="6DDE105C"/>
    <w:rsid w:val="71FB4C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0"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ind w:hanging="1"/>
    </w:pPr>
    <w:rPr>
      <w:rFonts w:ascii="Times New Roman" w:hAnsi="Times New Roman" w:cs="Times New Roman" w:eastAsiaTheme="minorEastAsia"/>
      <w:sz w:val="22"/>
      <w:szCs w:val="22"/>
      <w:lang w:val="id" w:eastAsia="en-US" w:bidi="ar-SA"/>
    </w:rPr>
  </w:style>
  <w:style w:type="paragraph" w:styleId="2">
    <w:name w:val="heading 1"/>
    <w:basedOn w:val="1"/>
    <w:next w:val="1"/>
    <w:qFormat/>
    <w:uiPriority w:val="0"/>
    <w:pPr>
      <w:keepNext/>
      <w:spacing w:before="240" w:after="60" w:line="240" w:lineRule="auto"/>
      <w:outlineLvl w:val="0"/>
    </w:pPr>
    <w:rPr>
      <w:rFonts w:ascii="Arial" w:hAnsi="Arial" w:eastAsia="Arial" w:cs="Arial"/>
      <w:b/>
      <w:sz w:val="32"/>
      <w:szCs w:val="32"/>
    </w:rPr>
  </w:style>
  <w:style w:type="paragraph" w:styleId="3">
    <w:name w:val="heading 2"/>
    <w:basedOn w:val="1"/>
    <w:next w:val="1"/>
    <w:qFormat/>
    <w:uiPriority w:val="0"/>
    <w:pPr>
      <w:spacing w:line="240" w:lineRule="auto"/>
      <w:outlineLvl w:val="1"/>
    </w:pPr>
    <w:rPr>
      <w:b/>
      <w:sz w:val="36"/>
      <w:szCs w:val="36"/>
    </w:rPr>
  </w:style>
  <w:style w:type="paragraph" w:styleId="4">
    <w:name w:val="heading 3"/>
    <w:basedOn w:val="1"/>
    <w:next w:val="1"/>
    <w:qFormat/>
    <w:uiPriority w:val="0"/>
    <w:pPr>
      <w:keepNext/>
      <w:keepLines/>
      <w:spacing w:before="280" w:after="80"/>
      <w:outlineLvl w:val="2"/>
    </w:pPr>
    <w:rPr>
      <w:b/>
      <w:sz w:val="28"/>
      <w:szCs w:val="28"/>
    </w:rPr>
  </w:style>
  <w:style w:type="paragraph" w:styleId="5">
    <w:name w:val="heading 4"/>
    <w:basedOn w:val="1"/>
    <w:next w:val="1"/>
    <w:qFormat/>
    <w:uiPriority w:val="0"/>
    <w:pPr>
      <w:keepNext/>
      <w:keepLines/>
      <w:spacing w:before="240" w:after="40"/>
      <w:outlineLvl w:val="3"/>
    </w:pPr>
    <w:rPr>
      <w:b/>
      <w:sz w:val="24"/>
      <w:szCs w:val="24"/>
    </w:rPr>
  </w:style>
  <w:style w:type="paragraph" w:styleId="6">
    <w:name w:val="heading 5"/>
    <w:basedOn w:val="1"/>
    <w:next w:val="1"/>
    <w:qFormat/>
    <w:uiPriority w:val="0"/>
    <w:pPr>
      <w:keepNext/>
      <w:spacing w:after="0" w:line="240" w:lineRule="auto"/>
      <w:outlineLvl w:val="4"/>
    </w:pPr>
    <w:rPr>
      <w:rFonts w:ascii="Arial" w:hAnsi="Arial" w:eastAsia="Arial" w:cs="Arial"/>
      <w:b/>
      <w:color w:val="000000"/>
      <w:sz w:val="16"/>
      <w:szCs w:val="16"/>
    </w:rPr>
  </w:style>
  <w:style w:type="paragraph" w:styleId="7">
    <w:name w:val="heading 6"/>
    <w:basedOn w:val="1"/>
    <w:next w:val="1"/>
    <w:qFormat/>
    <w:uiPriority w:val="0"/>
    <w:pPr>
      <w:keepNext/>
      <w:keepLines/>
      <w:spacing w:before="200" w:after="40"/>
      <w:outlineLvl w:val="5"/>
    </w:pPr>
    <w:rPr>
      <w:b/>
      <w:sz w:val="20"/>
      <w:szCs w:val="20"/>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Balloon Text"/>
    <w:basedOn w:val="1"/>
    <w:qFormat/>
    <w:uiPriority w:val="0"/>
    <w:pPr>
      <w:spacing w:after="0" w:line="240" w:lineRule="auto"/>
    </w:pPr>
    <w:rPr>
      <w:rFonts w:ascii="Tahoma" w:hAnsi="Tahoma" w:cs="Tahoma"/>
      <w:sz w:val="16"/>
      <w:szCs w:val="16"/>
    </w:rPr>
  </w:style>
  <w:style w:type="paragraph" w:styleId="11">
    <w:name w:val="Body Text"/>
    <w:basedOn w:val="1"/>
    <w:qFormat/>
    <w:uiPriority w:val="0"/>
    <w:pPr>
      <w:spacing w:after="120"/>
    </w:pPr>
  </w:style>
  <w:style w:type="paragraph" w:styleId="12">
    <w:name w:val="Body Text Indent 3"/>
    <w:basedOn w:val="1"/>
    <w:qFormat/>
    <w:uiPriority w:val="0"/>
    <w:pPr>
      <w:spacing w:after="120"/>
      <w:ind w:left="360"/>
    </w:pPr>
    <w:rPr>
      <w:sz w:val="16"/>
      <w:szCs w:val="16"/>
      <w:lang w:val="en-US" w:eastAsia="ko-KR"/>
    </w:rPr>
  </w:style>
  <w:style w:type="paragraph" w:styleId="13">
    <w:name w:val="caption"/>
    <w:basedOn w:val="1"/>
    <w:next w:val="1"/>
    <w:qFormat/>
    <w:uiPriority w:val="0"/>
    <w:pPr>
      <w:spacing w:line="240" w:lineRule="auto"/>
    </w:pPr>
    <w:rPr>
      <w:rFonts w:ascii="Verdana" w:hAnsi="Verdana"/>
      <w:b/>
      <w:bCs/>
      <w:color w:val="4F81BD"/>
      <w:sz w:val="18"/>
      <w:szCs w:val="18"/>
      <w:lang w:val="en-GB"/>
    </w:rPr>
  </w:style>
  <w:style w:type="character" w:styleId="14">
    <w:name w:val="annotation reference"/>
    <w:qFormat/>
    <w:uiPriority w:val="0"/>
    <w:rPr>
      <w:w w:val="100"/>
      <w:position w:val="-1"/>
      <w:sz w:val="16"/>
      <w:szCs w:val="16"/>
      <w:vertAlign w:val="baseline"/>
      <w:cs w:val="0"/>
    </w:rPr>
  </w:style>
  <w:style w:type="paragraph" w:styleId="15">
    <w:name w:val="annotation text"/>
    <w:basedOn w:val="1"/>
    <w:qFormat/>
    <w:uiPriority w:val="0"/>
    <w:pPr>
      <w:spacing w:after="0" w:line="240" w:lineRule="auto"/>
    </w:pPr>
    <w:rPr>
      <w:rFonts w:eastAsia="SimSun"/>
      <w:sz w:val="20"/>
      <w:szCs w:val="20"/>
      <w:lang w:val="en-US" w:eastAsia="zh-CN"/>
    </w:rPr>
  </w:style>
  <w:style w:type="paragraph" w:styleId="16">
    <w:name w:val="annotation subject"/>
    <w:basedOn w:val="15"/>
    <w:next w:val="15"/>
    <w:qFormat/>
    <w:uiPriority w:val="0"/>
    <w:rPr>
      <w:b/>
      <w:bCs/>
    </w:rPr>
  </w:style>
  <w:style w:type="character" w:styleId="17">
    <w:name w:val="Emphasis"/>
    <w:qFormat/>
    <w:uiPriority w:val="0"/>
    <w:rPr>
      <w:i/>
      <w:iCs/>
      <w:w w:val="100"/>
      <w:position w:val="-1"/>
      <w:vertAlign w:val="baseline"/>
      <w:cs w:val="0"/>
    </w:rPr>
  </w:style>
  <w:style w:type="character" w:styleId="18">
    <w:name w:val="FollowedHyperlink"/>
    <w:qFormat/>
    <w:uiPriority w:val="0"/>
    <w:rPr>
      <w:color w:val="800080"/>
      <w:w w:val="100"/>
      <w:position w:val="-1"/>
      <w:u w:val="single"/>
      <w:vertAlign w:val="baseline"/>
      <w:cs w:val="0"/>
    </w:rPr>
  </w:style>
  <w:style w:type="paragraph" w:styleId="19">
    <w:name w:val="footer"/>
    <w:basedOn w:val="1"/>
    <w:qFormat/>
    <w:uiPriority w:val="0"/>
    <w:pPr>
      <w:tabs>
        <w:tab w:val="center" w:pos="4513"/>
        <w:tab w:val="right" w:pos="9026"/>
      </w:tabs>
      <w:spacing w:after="0" w:line="240" w:lineRule="auto"/>
    </w:pPr>
  </w:style>
  <w:style w:type="paragraph" w:styleId="20">
    <w:name w:val="header"/>
    <w:basedOn w:val="1"/>
    <w:qFormat/>
    <w:uiPriority w:val="0"/>
    <w:pPr>
      <w:tabs>
        <w:tab w:val="center" w:pos="4513"/>
        <w:tab w:val="right" w:pos="9026"/>
      </w:tabs>
      <w:spacing w:after="0" w:line="240" w:lineRule="auto"/>
    </w:pPr>
  </w:style>
  <w:style w:type="paragraph" w:styleId="21">
    <w:name w:val="HTML Preformatted"/>
    <w:basedOn w:val="1"/>
    <w:link w:val="97"/>
    <w:semiHidden/>
    <w:unhideWhenUsed/>
    <w:qFormat/>
    <w:uiPriority w:val="99"/>
    <w:pPr>
      <w:spacing w:after="0" w:line="240" w:lineRule="auto"/>
    </w:pPr>
    <w:rPr>
      <w:rFonts w:ascii="Consolas" w:hAnsi="Consolas"/>
      <w:sz w:val="20"/>
      <w:szCs w:val="20"/>
    </w:rPr>
  </w:style>
  <w:style w:type="character" w:styleId="22">
    <w:name w:val="Hyperlink"/>
    <w:qFormat/>
    <w:uiPriority w:val="0"/>
    <w:rPr>
      <w:color w:val="0000FF"/>
      <w:w w:val="100"/>
      <w:position w:val="-1"/>
      <w:u w:val="single"/>
      <w:vertAlign w:val="baseline"/>
      <w:cs w:val="0"/>
    </w:rPr>
  </w:style>
  <w:style w:type="character" w:styleId="23">
    <w:name w:val="line number"/>
    <w:basedOn w:val="8"/>
    <w:qFormat/>
    <w:uiPriority w:val="0"/>
    <w:rPr>
      <w:w w:val="100"/>
      <w:position w:val="-1"/>
      <w:vertAlign w:val="baseline"/>
      <w:cs w:val="0"/>
    </w:rPr>
  </w:style>
  <w:style w:type="paragraph" w:styleId="24">
    <w:name w:val="Normal (Web)"/>
    <w:basedOn w:val="1"/>
    <w:qFormat/>
    <w:uiPriority w:val="0"/>
    <w:pPr>
      <w:spacing w:before="100" w:beforeAutospacing="1" w:after="100" w:afterAutospacing="1" w:line="240" w:lineRule="auto"/>
    </w:pPr>
    <w:rPr>
      <w:sz w:val="24"/>
      <w:szCs w:val="24"/>
      <w:lang w:val="en-GB" w:eastAsia="en-GB"/>
    </w:rPr>
  </w:style>
  <w:style w:type="character" w:styleId="25">
    <w:name w:val="page number"/>
    <w:qFormat/>
    <w:uiPriority w:val="0"/>
    <w:rPr>
      <w:w w:val="100"/>
      <w:position w:val="-1"/>
      <w:vertAlign w:val="baseline"/>
      <w:cs w:val="0"/>
    </w:rPr>
  </w:style>
  <w:style w:type="paragraph" w:styleId="26">
    <w:name w:val="Subtitle"/>
    <w:basedOn w:val="1"/>
    <w:next w:val="1"/>
    <w:qFormat/>
    <w:uiPriority w:val="0"/>
    <w:rPr>
      <w:rFonts w:ascii="Cambria" w:hAnsi="Cambria" w:eastAsia="Cambria" w:cs="Cambria"/>
      <w:i/>
      <w:color w:val="4F81BD"/>
      <w:sz w:val="24"/>
      <w:szCs w:val="24"/>
    </w:rPr>
  </w:style>
  <w:style w:type="table" w:styleId="27">
    <w:name w:val="Table Grid"/>
    <w:basedOn w:val="9"/>
    <w:qFormat/>
    <w:uiPriority w:val="0"/>
    <w:pPr>
      <w:suppressAutoHyphens/>
      <w:spacing w:line="1" w:lineRule="atLeast"/>
      <w:ind w:left="-1" w:leftChars="-1" w:hanging="1" w:hangingChars="1"/>
      <w:textAlignment w:val="top"/>
      <w:outlineLvl w:val="0"/>
    </w:pPr>
    <w:rPr>
      <w:position w:val="-1"/>
      <w:lang w:eastAsia="id-ID"/>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28">
    <w:name w:val="table of figures"/>
    <w:basedOn w:val="1"/>
    <w:next w:val="1"/>
    <w:qFormat/>
    <w:uiPriority w:val="0"/>
    <w:rPr>
      <w:rFonts w:ascii="Verdana" w:hAnsi="Verdana"/>
      <w:sz w:val="17"/>
      <w:lang w:val="en-GB"/>
    </w:rPr>
  </w:style>
  <w:style w:type="paragraph" w:styleId="29">
    <w:name w:val="Title"/>
    <w:basedOn w:val="1"/>
    <w:next w:val="1"/>
    <w:qFormat/>
    <w:uiPriority w:val="0"/>
    <w:pPr>
      <w:pBdr>
        <w:bottom w:val="single" w:color="4F81BD" w:sz="8" w:space="4"/>
      </w:pBdr>
      <w:spacing w:after="300" w:line="240" w:lineRule="auto"/>
    </w:pPr>
    <w:rPr>
      <w:rFonts w:ascii="Cambria" w:hAnsi="Cambria" w:eastAsia="Cambria" w:cs="Cambria"/>
      <w:color w:val="17365D"/>
      <w:sz w:val="52"/>
      <w:szCs w:val="52"/>
    </w:rPr>
  </w:style>
  <w:style w:type="paragraph" w:styleId="30">
    <w:name w:val="toc 1"/>
    <w:basedOn w:val="1"/>
    <w:next w:val="1"/>
    <w:qFormat/>
    <w:uiPriority w:val="0"/>
    <w:pPr>
      <w:spacing w:after="100"/>
    </w:pPr>
    <w:rPr>
      <w:rFonts w:ascii="Verdana" w:hAnsi="Verdana"/>
      <w:sz w:val="17"/>
      <w:lang w:val="en-GB"/>
    </w:rPr>
  </w:style>
  <w:style w:type="table" w:styleId="31">
    <w:name w:val="Light Shading Accent 2"/>
    <w:basedOn w:val="9"/>
    <w:qFormat/>
    <w:uiPriority w:val="0"/>
    <w:pPr>
      <w:suppressAutoHyphens/>
      <w:spacing w:line="1" w:lineRule="atLeast"/>
      <w:ind w:left="-1" w:leftChars="-1" w:hanging="1" w:hangingChars="1"/>
      <w:textAlignment w:val="top"/>
      <w:outlineLvl w:val="0"/>
    </w:pPr>
    <w:rPr>
      <w:rFonts w:ascii="Verdana" w:hAnsi="Verdana"/>
      <w:color w:val="365F91"/>
      <w:position w:val="-1"/>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32">
    <w:name w:val="Medium List 2 Accent 1"/>
    <w:basedOn w:val="9"/>
    <w:qFormat/>
    <w:uiPriority w:val="0"/>
    <w:pPr>
      <w:suppressAutoHyphens/>
      <w:spacing w:line="1" w:lineRule="atLeast"/>
      <w:ind w:left="-1" w:leftChars="-1" w:hanging="1" w:hangingChars="1"/>
      <w:textAlignment w:val="top"/>
      <w:outlineLvl w:val="0"/>
    </w:pPr>
    <w:rPr>
      <w:rFonts w:ascii="Cambria" w:hAnsi="Cambria" w:eastAsia="Malgun Gothic"/>
      <w:color w:val="000000"/>
      <w:position w:val="-1"/>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single" w:color="4F81BD" w:sz="24" w:space="0"/>
          <w:bottom w:val="nil"/>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nil"/>
          <w:bottom w:val="single" w:color="4F81B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33">
    <w:name w:val="TableNormal"/>
    <w:qFormat/>
    <w:uiPriority w:val="0"/>
    <w:tblPr>
      <w:tblCellMar>
        <w:top w:w="100" w:type="dxa"/>
        <w:left w:w="100" w:type="dxa"/>
        <w:bottom w:w="100" w:type="dxa"/>
        <w:right w:w="100" w:type="dxa"/>
      </w:tblCellMar>
    </w:tblPr>
  </w:style>
  <w:style w:type="character" w:customStyle="1" w:styleId="34">
    <w:name w:val="Heading 1 Char"/>
    <w:qFormat/>
    <w:uiPriority w:val="0"/>
    <w:rPr>
      <w:rFonts w:ascii="Arial" w:hAnsi="Arial" w:eastAsia="SimSun"/>
      <w:b/>
      <w:bCs/>
      <w:w w:val="100"/>
      <w:kern w:val="32"/>
      <w:position w:val="-1"/>
      <w:sz w:val="32"/>
      <w:szCs w:val="32"/>
      <w:vertAlign w:val="baseline"/>
      <w:cs w:val="0"/>
      <w:lang w:eastAsia="zh-CN"/>
    </w:rPr>
  </w:style>
  <w:style w:type="character" w:customStyle="1" w:styleId="35">
    <w:name w:val="Heading 2 Char"/>
    <w:qFormat/>
    <w:uiPriority w:val="0"/>
    <w:rPr>
      <w:rFonts w:ascii="Times New Roman" w:hAnsi="Times New Roman" w:eastAsia="Times New Roman"/>
      <w:b/>
      <w:bCs/>
      <w:w w:val="100"/>
      <w:position w:val="-1"/>
      <w:sz w:val="36"/>
      <w:szCs w:val="36"/>
      <w:vertAlign w:val="baseline"/>
      <w:cs w:val="0"/>
    </w:rPr>
  </w:style>
  <w:style w:type="character" w:customStyle="1" w:styleId="36">
    <w:name w:val="Heading 5 Char"/>
    <w:qFormat/>
    <w:uiPriority w:val="0"/>
    <w:rPr>
      <w:rFonts w:ascii="Arial" w:hAnsi="Arial" w:eastAsia="Times New Roman"/>
      <w:b/>
      <w:bCs/>
      <w:color w:val="000000"/>
      <w:w w:val="100"/>
      <w:position w:val="-1"/>
      <w:sz w:val="16"/>
      <w:szCs w:val="16"/>
      <w:vertAlign w:val="baseline"/>
      <w:cs w:val="0"/>
      <w:lang w:val="en-GB"/>
    </w:rPr>
  </w:style>
  <w:style w:type="character" w:customStyle="1" w:styleId="37">
    <w:name w:val="Balloon Text Char"/>
    <w:qFormat/>
    <w:uiPriority w:val="0"/>
    <w:rPr>
      <w:rFonts w:ascii="Tahoma" w:hAnsi="Tahoma" w:cs="Tahoma"/>
      <w:w w:val="100"/>
      <w:position w:val="-1"/>
      <w:sz w:val="16"/>
      <w:szCs w:val="16"/>
      <w:vertAlign w:val="baseline"/>
      <w:cs w:val="0"/>
      <w:lang w:val="id-ID"/>
    </w:rPr>
  </w:style>
  <w:style w:type="character" w:customStyle="1" w:styleId="38">
    <w:name w:val="Body Text Char"/>
    <w:qFormat/>
    <w:uiPriority w:val="0"/>
    <w:rPr>
      <w:w w:val="100"/>
      <w:position w:val="-1"/>
      <w:sz w:val="22"/>
      <w:szCs w:val="22"/>
      <w:vertAlign w:val="baseline"/>
      <w:cs w:val="0"/>
      <w:lang w:val="id-ID"/>
    </w:rPr>
  </w:style>
  <w:style w:type="character" w:customStyle="1" w:styleId="39">
    <w:name w:val="Body Text Indent 3 Char"/>
    <w:qFormat/>
    <w:uiPriority w:val="0"/>
    <w:rPr>
      <w:w w:val="100"/>
      <w:position w:val="-1"/>
      <w:sz w:val="16"/>
      <w:szCs w:val="16"/>
      <w:vertAlign w:val="baseline"/>
      <w:cs w:val="0"/>
      <w:lang w:eastAsia="ko-KR"/>
    </w:rPr>
  </w:style>
  <w:style w:type="character" w:customStyle="1" w:styleId="40">
    <w:name w:val="Comment Text Char"/>
    <w:qFormat/>
    <w:uiPriority w:val="0"/>
    <w:rPr>
      <w:rFonts w:ascii="Times New Roman" w:hAnsi="Times New Roman" w:eastAsia="SimSun"/>
      <w:w w:val="100"/>
      <w:position w:val="-1"/>
      <w:vertAlign w:val="baseline"/>
      <w:cs w:val="0"/>
      <w:lang w:eastAsia="zh-CN"/>
    </w:rPr>
  </w:style>
  <w:style w:type="character" w:customStyle="1" w:styleId="41">
    <w:name w:val="Comment Subject Char"/>
    <w:qFormat/>
    <w:uiPriority w:val="0"/>
    <w:rPr>
      <w:rFonts w:ascii="Times New Roman" w:hAnsi="Times New Roman" w:eastAsia="SimSun"/>
      <w:b/>
      <w:bCs/>
      <w:w w:val="100"/>
      <w:position w:val="-1"/>
      <w:vertAlign w:val="baseline"/>
      <w:cs w:val="0"/>
      <w:lang w:eastAsia="zh-CN"/>
    </w:rPr>
  </w:style>
  <w:style w:type="character" w:customStyle="1" w:styleId="42">
    <w:name w:val="Footer Char"/>
    <w:basedOn w:val="8"/>
    <w:qFormat/>
    <w:uiPriority w:val="0"/>
    <w:rPr>
      <w:w w:val="100"/>
      <w:position w:val="-1"/>
      <w:vertAlign w:val="baseline"/>
      <w:cs w:val="0"/>
    </w:rPr>
  </w:style>
  <w:style w:type="character" w:customStyle="1" w:styleId="43">
    <w:name w:val="Header Char"/>
    <w:basedOn w:val="8"/>
    <w:qFormat/>
    <w:uiPriority w:val="0"/>
    <w:rPr>
      <w:w w:val="100"/>
      <w:position w:val="-1"/>
      <w:vertAlign w:val="baseline"/>
      <w:cs w:val="0"/>
    </w:rPr>
  </w:style>
  <w:style w:type="character" w:customStyle="1" w:styleId="44">
    <w:name w:val="Subtitle Char"/>
    <w:qFormat/>
    <w:uiPriority w:val="0"/>
    <w:rPr>
      <w:rFonts w:ascii="Cambria" w:hAnsi="Cambria" w:eastAsia="Malgun Gothic"/>
      <w:i/>
      <w:iCs/>
      <w:color w:val="4F81BD"/>
      <w:spacing w:val="15"/>
      <w:w w:val="100"/>
      <w:position w:val="-1"/>
      <w:sz w:val="24"/>
      <w:szCs w:val="24"/>
      <w:vertAlign w:val="baseline"/>
      <w:cs w:val="0"/>
      <w:lang w:eastAsia="ja-JP"/>
    </w:rPr>
  </w:style>
  <w:style w:type="character" w:customStyle="1" w:styleId="45">
    <w:name w:val="Title Char"/>
    <w:qFormat/>
    <w:uiPriority w:val="0"/>
    <w:rPr>
      <w:rFonts w:ascii="Cambria" w:hAnsi="Cambria" w:eastAsia="Malgun Gothic"/>
      <w:color w:val="17365D"/>
      <w:spacing w:val="5"/>
      <w:w w:val="100"/>
      <w:kern w:val="28"/>
      <w:position w:val="-1"/>
      <w:sz w:val="52"/>
      <w:szCs w:val="52"/>
      <w:vertAlign w:val="baseline"/>
      <w:cs w:val="0"/>
      <w:lang w:eastAsia="ja-JP"/>
    </w:rPr>
  </w:style>
  <w:style w:type="paragraph" w:styleId="46">
    <w:name w:val="List Paragraph"/>
    <w:basedOn w:val="1"/>
    <w:qFormat/>
    <w:uiPriority w:val="0"/>
    <w:pPr>
      <w:ind w:left="720"/>
      <w:contextualSpacing/>
    </w:pPr>
  </w:style>
  <w:style w:type="paragraph" w:customStyle="1" w:styleId="47">
    <w:name w:val="Heading 1A"/>
    <w:basedOn w:val="2"/>
    <w:qFormat/>
    <w:uiPriority w:val="0"/>
    <w:pPr>
      <w:spacing w:before="90" w:after="90" w:line="220" w:lineRule="atLeast"/>
    </w:pPr>
    <w:rPr>
      <w:rFonts w:ascii="News Gothic" w:hAnsi="News Gothic" w:eastAsia="Times New Roman"/>
      <w:i/>
      <w:color w:val="00FF00"/>
      <w:kern w:val="28"/>
      <w:sz w:val="18"/>
      <w:szCs w:val="20"/>
      <w:lang w:val="en-AU"/>
    </w:rPr>
  </w:style>
  <w:style w:type="paragraph" w:customStyle="1" w:styleId="48">
    <w:name w:val="Normal_A"/>
    <w:basedOn w:val="1"/>
    <w:qFormat/>
    <w:uiPriority w:val="0"/>
    <w:pPr>
      <w:spacing w:after="0" w:line="200" w:lineRule="atLeast"/>
    </w:pPr>
    <w:rPr>
      <w:rFonts w:ascii="News Gothic" w:hAnsi="News Gothic"/>
      <w:snapToGrid w:val="0"/>
      <w:color w:val="000000"/>
      <w:sz w:val="16"/>
      <w:szCs w:val="20"/>
      <w:lang w:val="en-US" w:eastAsia="nl-NL"/>
    </w:rPr>
  </w:style>
  <w:style w:type="paragraph" w:customStyle="1" w:styleId="49">
    <w:name w:val="titel"/>
    <w:basedOn w:val="1"/>
    <w:qFormat/>
    <w:uiPriority w:val="0"/>
    <w:pPr>
      <w:spacing w:after="0" w:line="620" w:lineRule="atLeast"/>
    </w:pPr>
    <w:rPr>
      <w:rFonts w:ascii="News Gothic" w:hAnsi="News Gothic"/>
      <w:color w:val="FFFFFF"/>
      <w:sz w:val="52"/>
      <w:szCs w:val="20"/>
      <w:lang w:val="en-AU"/>
    </w:rPr>
  </w:style>
  <w:style w:type="paragraph" w:customStyle="1" w:styleId="50">
    <w:name w:val="Revision1"/>
    <w:qFormat/>
    <w:uiPriority w:val="0"/>
    <w:pPr>
      <w:suppressAutoHyphens/>
      <w:spacing w:after="200" w:line="1" w:lineRule="atLeast"/>
      <w:ind w:left="-1" w:leftChars="-1" w:hanging="1" w:hangingChars="1"/>
      <w:textAlignment w:val="top"/>
      <w:outlineLvl w:val="0"/>
    </w:pPr>
    <w:rPr>
      <w:rFonts w:ascii="Times New Roman" w:hAnsi="Times New Roman" w:eastAsia="SimSun" w:cs="Times New Roman"/>
      <w:position w:val="-1"/>
      <w:sz w:val="24"/>
      <w:szCs w:val="24"/>
      <w:lang w:val="id" w:eastAsia="zh-CN" w:bidi="ar-SA"/>
    </w:rPr>
  </w:style>
  <w:style w:type="character" w:customStyle="1" w:styleId="51">
    <w:name w:val="a"/>
    <w:basedOn w:val="8"/>
    <w:qFormat/>
    <w:uiPriority w:val="0"/>
    <w:rPr>
      <w:w w:val="100"/>
      <w:position w:val="-1"/>
      <w:vertAlign w:val="baseline"/>
      <w:cs w:val="0"/>
    </w:rPr>
  </w:style>
  <w:style w:type="character" w:customStyle="1" w:styleId="52">
    <w:name w:val="l8"/>
    <w:basedOn w:val="8"/>
    <w:qFormat/>
    <w:uiPriority w:val="0"/>
    <w:rPr>
      <w:w w:val="100"/>
      <w:position w:val="-1"/>
      <w:vertAlign w:val="baseline"/>
      <w:cs w:val="0"/>
    </w:rPr>
  </w:style>
  <w:style w:type="character" w:customStyle="1" w:styleId="53">
    <w:name w:val="l6"/>
    <w:basedOn w:val="8"/>
    <w:qFormat/>
    <w:uiPriority w:val="0"/>
    <w:rPr>
      <w:w w:val="100"/>
      <w:position w:val="-1"/>
      <w:vertAlign w:val="baseline"/>
      <w:cs w:val="0"/>
    </w:rPr>
  </w:style>
  <w:style w:type="character" w:customStyle="1" w:styleId="54">
    <w:name w:val="l7"/>
    <w:basedOn w:val="8"/>
    <w:qFormat/>
    <w:uiPriority w:val="0"/>
    <w:rPr>
      <w:w w:val="100"/>
      <w:position w:val="-1"/>
      <w:vertAlign w:val="baseline"/>
      <w:cs w:val="0"/>
    </w:rPr>
  </w:style>
  <w:style w:type="paragraph" w:customStyle="1" w:styleId="55">
    <w:name w:val="Default"/>
    <w:qFormat/>
    <w:uiPriority w:val="0"/>
    <w:pPr>
      <w:suppressAutoHyphens/>
      <w:autoSpaceDE w:val="0"/>
      <w:autoSpaceDN w:val="0"/>
      <w:adjustRightInd w:val="0"/>
      <w:spacing w:after="200" w:line="1" w:lineRule="atLeast"/>
      <w:ind w:left="-1" w:leftChars="-1" w:hanging="1" w:hangingChars="1"/>
      <w:textAlignment w:val="top"/>
      <w:outlineLvl w:val="0"/>
    </w:pPr>
    <w:rPr>
      <w:rFonts w:ascii="Times New Roman" w:hAnsi="Times New Roman" w:cs="Times New Roman" w:eastAsiaTheme="minorEastAsia"/>
      <w:color w:val="000000"/>
      <w:position w:val="-1"/>
      <w:sz w:val="24"/>
      <w:szCs w:val="24"/>
      <w:lang w:val="id-ID" w:eastAsia="id-ID" w:bidi="ar-SA"/>
    </w:rPr>
  </w:style>
  <w:style w:type="paragraph" w:customStyle="1" w:styleId="56">
    <w:name w:val="TOC Heading1"/>
    <w:basedOn w:val="2"/>
    <w:next w:val="1"/>
    <w:qFormat/>
    <w:uiPriority w:val="0"/>
    <w:pPr>
      <w:keepLines/>
      <w:spacing w:before="480" w:after="0" w:line="360" w:lineRule="auto"/>
      <w:outlineLvl w:val="9"/>
    </w:pPr>
    <w:rPr>
      <w:rFonts w:eastAsia="Malgun Gothic"/>
      <w:sz w:val="22"/>
      <w:szCs w:val="22"/>
      <w:lang w:eastAsia="ja-JP"/>
    </w:rPr>
  </w:style>
  <w:style w:type="paragraph" w:customStyle="1" w:styleId="57">
    <w:name w:val="Medium Grid 1 - Accent 21"/>
    <w:basedOn w:val="1"/>
    <w:qFormat/>
    <w:uiPriority w:val="0"/>
    <w:pPr>
      <w:ind w:left="720"/>
      <w:contextualSpacing/>
    </w:pPr>
    <w:rPr>
      <w:rFonts w:ascii="Verdana" w:hAnsi="Verdana"/>
      <w:sz w:val="17"/>
      <w:lang w:val="en-GB"/>
    </w:rPr>
  </w:style>
  <w:style w:type="table" w:customStyle="1" w:styleId="58">
    <w:name w:val="Table Grid1"/>
    <w:basedOn w:val="9"/>
    <w:qFormat/>
    <w:uiPriority w:val="0"/>
    <w:pPr>
      <w:suppressAutoHyphens/>
      <w:spacing w:line="1" w:lineRule="atLeast"/>
      <w:ind w:left="-1" w:leftChars="-1" w:hanging="1" w:hangingChars="1"/>
      <w:textAlignment w:val="top"/>
      <w:outlineLvl w:val="0"/>
    </w:pPr>
    <w:rPr>
      <w:rFonts w:ascii="Verdana" w:hAnsi="Verdana"/>
      <w:position w:val="-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9">
    <w:name w:val="Medium Grid 21"/>
    <w:qFormat/>
    <w:uiPriority w:val="0"/>
    <w:pPr>
      <w:suppressAutoHyphens/>
      <w:spacing w:after="200" w:line="1" w:lineRule="atLeast"/>
      <w:ind w:left="-1" w:leftChars="-1" w:hanging="1" w:hangingChars="1"/>
      <w:textAlignment w:val="top"/>
      <w:outlineLvl w:val="0"/>
    </w:pPr>
    <w:rPr>
      <w:rFonts w:ascii="Verdana" w:hAnsi="Verdana" w:cs="Times New Roman" w:eastAsiaTheme="minorEastAsia"/>
      <w:position w:val="-1"/>
      <w:sz w:val="17"/>
      <w:szCs w:val="22"/>
      <w:lang w:val="en-GB" w:eastAsia="en-US" w:bidi="ar-SA"/>
    </w:rPr>
  </w:style>
  <w:style w:type="character" w:customStyle="1" w:styleId="60">
    <w:name w:val="Medium Grid 2 Char"/>
    <w:qFormat/>
    <w:uiPriority w:val="0"/>
    <w:rPr>
      <w:rFonts w:ascii="Verdana" w:hAnsi="Verdana"/>
      <w:w w:val="100"/>
      <w:position w:val="-1"/>
      <w:sz w:val="17"/>
      <w:szCs w:val="22"/>
      <w:vertAlign w:val="baseline"/>
      <w:cs w:val="0"/>
      <w:lang w:val="en-GB" w:eastAsia="en-US" w:bidi="ar-SA"/>
    </w:rPr>
  </w:style>
  <w:style w:type="character" w:customStyle="1" w:styleId="61">
    <w:name w:val="Book Title1"/>
    <w:qFormat/>
    <w:uiPriority w:val="0"/>
    <w:rPr>
      <w:b/>
      <w:bCs/>
      <w:smallCaps/>
      <w:spacing w:val="5"/>
      <w:w w:val="100"/>
      <w:position w:val="-1"/>
      <w:vertAlign w:val="baseline"/>
      <w:cs w:val="0"/>
    </w:rPr>
  </w:style>
  <w:style w:type="character" w:customStyle="1" w:styleId="62">
    <w:name w:val="Subtle Emphasis1"/>
    <w:qFormat/>
    <w:uiPriority w:val="0"/>
    <w:rPr>
      <w:i/>
      <w:iCs/>
      <w:color w:val="808080"/>
      <w:w w:val="100"/>
      <w:position w:val="-1"/>
      <w:vertAlign w:val="baseline"/>
      <w:cs w:val="0"/>
    </w:rPr>
  </w:style>
  <w:style w:type="table" w:customStyle="1" w:styleId="63">
    <w:name w:val="Medium Grid 31"/>
    <w:basedOn w:val="9"/>
    <w:qFormat/>
    <w:uiPriority w:val="0"/>
    <w:pPr>
      <w:suppressAutoHyphens/>
      <w:spacing w:line="1" w:lineRule="atLeast"/>
      <w:ind w:left="-1" w:leftChars="-1" w:hanging="1" w:hangingChars="1"/>
      <w:textAlignment w:val="top"/>
      <w:outlineLvl w:val="0"/>
    </w:pPr>
    <w:rPr>
      <w:rFonts w:ascii="Verdana" w:hAnsi="Verdana"/>
      <w:color w:val="000000"/>
      <w:position w:val="-1"/>
    </w:rPr>
    <w:tblPr>
      <w:tblBorders>
        <w:top w:val="single" w:color="000000" w:sz="8" w:space="0"/>
        <w:bottom w:val="single" w:color="000000" w:sz="8" w:space="0"/>
      </w:tblBorders>
    </w:tblPr>
  </w:style>
  <w:style w:type="table" w:customStyle="1" w:styleId="64">
    <w:name w:val="Dark List1"/>
    <w:basedOn w:val="9"/>
    <w:qFormat/>
    <w:uiPriority w:val="0"/>
    <w:pPr>
      <w:suppressAutoHyphens/>
      <w:spacing w:line="1" w:lineRule="atLeast"/>
      <w:ind w:left="-1" w:leftChars="-1" w:hanging="1" w:hangingChars="1"/>
      <w:textAlignment w:val="top"/>
      <w:outlineLvl w:val="0"/>
    </w:pPr>
    <w:rPr>
      <w:rFonts w:ascii="Verdana" w:hAnsi="Verdana"/>
      <w:position w:val="-1"/>
    </w:rPr>
    <w:tblPr>
      <w:tblBorders>
        <w:top w:val="single" w:color="000000" w:sz="8" w:space="0"/>
        <w:left w:val="single" w:color="000000" w:sz="8" w:space="0"/>
        <w:bottom w:val="single" w:color="000000" w:sz="8" w:space="0"/>
        <w:right w:val="single" w:color="000000" w:sz="8" w:space="0"/>
      </w:tblBorders>
    </w:tblPr>
  </w:style>
  <w:style w:type="table" w:customStyle="1" w:styleId="65">
    <w:name w:val="Quote1"/>
    <w:basedOn w:val="9"/>
    <w:qFormat/>
    <w:uiPriority w:val="0"/>
    <w:pPr>
      <w:suppressAutoHyphens/>
      <w:spacing w:line="1" w:lineRule="atLeast"/>
      <w:ind w:left="-1" w:leftChars="-1" w:hanging="1" w:hangingChars="1"/>
      <w:textAlignment w:val="top"/>
      <w:outlineLvl w:val="0"/>
    </w:pPr>
    <w:rPr>
      <w:rFonts w:ascii="Verdana" w:hAnsi="Verdana"/>
      <w:position w:val="-1"/>
    </w:rPr>
    <w:tblPr>
      <w:tblBorders>
        <w:top w:val="single" w:color="auto" w:sz="18" w:space="0"/>
        <w:bottom w:val="single" w:color="auto" w:sz="18" w:space="0"/>
      </w:tblBorders>
    </w:tblPr>
  </w:style>
  <w:style w:type="paragraph" w:customStyle="1" w:styleId="66">
    <w:name w:val="Medium List 2 - Accent 21"/>
    <w:qFormat/>
    <w:uiPriority w:val="0"/>
    <w:pPr>
      <w:suppressAutoHyphens/>
      <w:spacing w:after="200" w:line="1" w:lineRule="atLeast"/>
      <w:ind w:left="-1" w:leftChars="-1" w:hanging="1" w:hangingChars="1"/>
      <w:textAlignment w:val="top"/>
      <w:outlineLvl w:val="0"/>
    </w:pPr>
    <w:rPr>
      <w:rFonts w:ascii="Verdana" w:hAnsi="Verdana" w:cs="Times New Roman" w:eastAsiaTheme="minorEastAsia"/>
      <w:position w:val="-1"/>
      <w:sz w:val="17"/>
      <w:szCs w:val="22"/>
      <w:lang w:val="en-GB" w:eastAsia="en-US" w:bidi="ar-SA"/>
    </w:rPr>
  </w:style>
  <w:style w:type="paragraph" w:customStyle="1" w:styleId="67">
    <w:name w:val="Colorful Shading - Accent 11"/>
    <w:qFormat/>
    <w:uiPriority w:val="0"/>
    <w:pPr>
      <w:suppressAutoHyphens/>
      <w:spacing w:after="200" w:line="1" w:lineRule="atLeast"/>
      <w:ind w:left="-1" w:leftChars="-1" w:hanging="1" w:hangingChars="1"/>
      <w:textAlignment w:val="top"/>
      <w:outlineLvl w:val="0"/>
    </w:pPr>
    <w:rPr>
      <w:rFonts w:ascii="Verdana" w:hAnsi="Verdana" w:cs="Times New Roman" w:eastAsiaTheme="minorEastAsia"/>
      <w:position w:val="-1"/>
      <w:sz w:val="17"/>
      <w:szCs w:val="22"/>
      <w:lang w:val="en-GB" w:eastAsia="en-US" w:bidi="ar-SA"/>
    </w:rPr>
  </w:style>
  <w:style w:type="paragraph" w:customStyle="1" w:styleId="68">
    <w:name w:val="TOC Heading2"/>
    <w:basedOn w:val="2"/>
    <w:next w:val="1"/>
    <w:qFormat/>
    <w:uiPriority w:val="0"/>
    <w:pPr>
      <w:keepLines/>
      <w:spacing w:before="480" w:after="0" w:line="360" w:lineRule="auto"/>
      <w:outlineLvl w:val="9"/>
    </w:pPr>
    <w:rPr>
      <w:rFonts w:eastAsia="Malgun Gothic"/>
      <w:sz w:val="22"/>
      <w:szCs w:val="22"/>
      <w:lang w:eastAsia="ja-JP"/>
    </w:rPr>
  </w:style>
  <w:style w:type="character" w:customStyle="1" w:styleId="69">
    <w:name w:val="Book Title2"/>
    <w:qFormat/>
    <w:uiPriority w:val="0"/>
    <w:rPr>
      <w:b/>
      <w:bCs/>
      <w:smallCaps/>
      <w:spacing w:val="5"/>
      <w:w w:val="100"/>
      <w:position w:val="-1"/>
      <w:vertAlign w:val="baseline"/>
      <w:cs w:val="0"/>
    </w:rPr>
  </w:style>
  <w:style w:type="character" w:customStyle="1" w:styleId="70">
    <w:name w:val="Subtle Emphasis2"/>
    <w:qFormat/>
    <w:uiPriority w:val="0"/>
    <w:rPr>
      <w:i/>
      <w:iCs/>
      <w:color w:val="808080"/>
      <w:w w:val="100"/>
      <w:position w:val="-1"/>
      <w:vertAlign w:val="baseline"/>
      <w:cs w:val="0"/>
    </w:rPr>
  </w:style>
  <w:style w:type="table" w:customStyle="1" w:styleId="71">
    <w:name w:val="Medium Grid 32"/>
    <w:basedOn w:val="9"/>
    <w:qFormat/>
    <w:uiPriority w:val="0"/>
    <w:pPr>
      <w:suppressAutoHyphens/>
      <w:spacing w:line="1" w:lineRule="atLeast"/>
      <w:ind w:left="-1" w:leftChars="-1" w:hanging="1" w:hangingChars="1"/>
      <w:textAlignment w:val="top"/>
      <w:outlineLvl w:val="0"/>
    </w:pPr>
    <w:rPr>
      <w:rFonts w:ascii="Verdana" w:hAnsi="Verdana"/>
      <w:color w:val="000000"/>
      <w:position w:val="-1"/>
    </w:rPr>
    <w:tblPr>
      <w:tblBorders>
        <w:top w:val="single" w:color="000000" w:sz="8" w:space="0"/>
        <w:bottom w:val="single" w:color="000000" w:sz="8" w:space="0"/>
      </w:tblBorders>
    </w:tblPr>
  </w:style>
  <w:style w:type="table" w:customStyle="1" w:styleId="72">
    <w:name w:val="Dark List2"/>
    <w:basedOn w:val="9"/>
    <w:qFormat/>
    <w:uiPriority w:val="0"/>
    <w:pPr>
      <w:suppressAutoHyphens/>
      <w:spacing w:line="1" w:lineRule="atLeast"/>
      <w:ind w:left="-1" w:leftChars="-1" w:hanging="1" w:hangingChars="1"/>
      <w:textAlignment w:val="top"/>
      <w:outlineLvl w:val="0"/>
    </w:pPr>
    <w:rPr>
      <w:rFonts w:ascii="Verdana" w:hAnsi="Verdana"/>
      <w:position w:val="-1"/>
    </w:rPr>
    <w:tblPr>
      <w:tblBorders>
        <w:top w:val="single" w:color="000000" w:sz="8" w:space="0"/>
        <w:left w:val="single" w:color="000000" w:sz="8" w:space="0"/>
        <w:bottom w:val="single" w:color="000000" w:sz="8" w:space="0"/>
        <w:right w:val="single" w:color="000000" w:sz="8" w:space="0"/>
      </w:tblBorders>
    </w:tblPr>
  </w:style>
  <w:style w:type="character" w:customStyle="1" w:styleId="73">
    <w:name w:val="hps"/>
    <w:basedOn w:val="8"/>
    <w:qFormat/>
    <w:uiPriority w:val="0"/>
    <w:rPr>
      <w:w w:val="100"/>
      <w:position w:val="-1"/>
      <w:vertAlign w:val="baseline"/>
      <w:cs w:val="0"/>
    </w:rPr>
  </w:style>
  <w:style w:type="character" w:customStyle="1" w:styleId="74">
    <w:name w:val="atn"/>
    <w:basedOn w:val="8"/>
    <w:qFormat/>
    <w:uiPriority w:val="0"/>
    <w:rPr>
      <w:w w:val="100"/>
      <w:position w:val="-1"/>
      <w:vertAlign w:val="baseline"/>
      <w:cs w:val="0"/>
    </w:rPr>
  </w:style>
  <w:style w:type="paragraph" w:customStyle="1" w:styleId="75">
    <w:name w:val="Free Form A"/>
    <w:qFormat/>
    <w:uiPriority w:val="0"/>
    <w:pPr>
      <w:suppressAutoHyphens/>
      <w:spacing w:after="200" w:line="1" w:lineRule="atLeast"/>
      <w:ind w:left="-1" w:leftChars="-1" w:hanging="1" w:hangingChars="1"/>
      <w:textAlignment w:val="top"/>
      <w:outlineLvl w:val="0"/>
    </w:pPr>
    <w:rPr>
      <w:rFonts w:ascii="Times New Roman" w:hAnsi="Times New Roman" w:eastAsia="ヒラギノ角ゴ Pro W3" w:cs="Times New Roman"/>
      <w:color w:val="000000"/>
      <w:position w:val="-1"/>
      <w:sz w:val="22"/>
      <w:szCs w:val="22"/>
      <w:lang w:val="id" w:eastAsia="en-US" w:bidi="ar-SA"/>
    </w:rPr>
  </w:style>
  <w:style w:type="paragraph" w:customStyle="1" w:styleId="76">
    <w:name w:val="Comment Text1"/>
    <w:qFormat/>
    <w:uiPriority w:val="0"/>
    <w:pPr>
      <w:suppressAutoHyphens/>
      <w:spacing w:after="200" w:line="1" w:lineRule="atLeast"/>
      <w:ind w:left="-1" w:leftChars="-1" w:hanging="1" w:hangingChars="1"/>
      <w:textAlignment w:val="top"/>
      <w:outlineLvl w:val="0"/>
    </w:pPr>
    <w:rPr>
      <w:rFonts w:ascii="Times New Roman" w:hAnsi="Times New Roman" w:eastAsia="ヒラギノ角ゴ Pro W3" w:cs="Times New Roman"/>
      <w:color w:val="000000"/>
      <w:position w:val="-1"/>
      <w:sz w:val="22"/>
      <w:szCs w:val="22"/>
      <w:lang w:val="id" w:eastAsia="en-US" w:bidi="ar-SA"/>
    </w:rPr>
  </w:style>
  <w:style w:type="paragraph" w:customStyle="1" w:styleId="77">
    <w:name w:val="Footer1"/>
    <w:qFormat/>
    <w:uiPriority w:val="0"/>
    <w:pPr>
      <w:tabs>
        <w:tab w:val="center" w:pos="4320"/>
        <w:tab w:val="right" w:pos="8640"/>
      </w:tabs>
      <w:suppressAutoHyphens/>
      <w:spacing w:after="200" w:line="1" w:lineRule="atLeast"/>
      <w:ind w:left="-1" w:leftChars="-1" w:hanging="1" w:hangingChars="1"/>
      <w:textAlignment w:val="top"/>
      <w:outlineLvl w:val="0"/>
    </w:pPr>
    <w:rPr>
      <w:rFonts w:ascii="Times New Roman" w:hAnsi="Times New Roman" w:eastAsia="ヒラギノ角ゴ Pro W3" w:cs="Times New Roman"/>
      <w:color w:val="000000"/>
      <w:position w:val="-1"/>
      <w:sz w:val="24"/>
      <w:szCs w:val="22"/>
      <w:lang w:val="id" w:eastAsia="en-US" w:bidi="ar-SA"/>
    </w:rPr>
  </w:style>
  <w:style w:type="character" w:customStyle="1" w:styleId="78">
    <w:name w:val="Hyperlink1"/>
    <w:qFormat/>
    <w:uiPriority w:val="0"/>
    <w:rPr>
      <w:color w:val="0000FF"/>
      <w:w w:val="100"/>
      <w:position w:val="-1"/>
      <w:sz w:val="20"/>
      <w:u w:val="single"/>
      <w:vertAlign w:val="baseline"/>
      <w:cs w:val="0"/>
    </w:rPr>
  </w:style>
  <w:style w:type="character" w:customStyle="1" w:styleId="79">
    <w:name w:val="a1"/>
    <w:qFormat/>
    <w:uiPriority w:val="0"/>
    <w:rPr>
      <w:color w:val="0A0B00"/>
      <w:w w:val="100"/>
      <w:position w:val="-1"/>
      <w:sz w:val="20"/>
      <w:vertAlign w:val="baseline"/>
      <w:cs w:val="0"/>
    </w:rPr>
  </w:style>
  <w:style w:type="paragraph" w:customStyle="1" w:styleId="80">
    <w:name w:val="Body"/>
    <w:qFormat/>
    <w:uiPriority w:val="0"/>
    <w:pPr>
      <w:suppressAutoHyphens/>
      <w:spacing w:after="200" w:line="1" w:lineRule="atLeast"/>
      <w:ind w:left="-1" w:leftChars="-1" w:hanging="1" w:hangingChars="1"/>
      <w:textAlignment w:val="top"/>
      <w:outlineLvl w:val="0"/>
    </w:pPr>
    <w:rPr>
      <w:rFonts w:ascii="Helvetica" w:hAnsi="Helvetica" w:eastAsia="ヒラギノ角ゴ Pro W3" w:cs="Times New Roman"/>
      <w:color w:val="000000"/>
      <w:position w:val="-1"/>
      <w:sz w:val="24"/>
      <w:szCs w:val="22"/>
      <w:lang w:val="id" w:eastAsia="en-US" w:bidi="ar-SA"/>
    </w:rPr>
  </w:style>
  <w:style w:type="paragraph" w:customStyle="1" w:styleId="81">
    <w:name w:val="Free Form"/>
    <w:qFormat/>
    <w:uiPriority w:val="0"/>
    <w:pPr>
      <w:suppressAutoHyphens/>
      <w:spacing w:after="200" w:line="1" w:lineRule="atLeast"/>
      <w:ind w:left="-1" w:leftChars="-1" w:hanging="1" w:hangingChars="1"/>
      <w:textAlignment w:val="top"/>
      <w:outlineLvl w:val="0"/>
    </w:pPr>
    <w:rPr>
      <w:rFonts w:ascii="Times New Roman" w:hAnsi="Times New Roman" w:eastAsia="ヒラギノ角ゴ Pro W3" w:cs="Times New Roman"/>
      <w:color w:val="000000"/>
      <w:position w:val="-1"/>
      <w:sz w:val="22"/>
      <w:szCs w:val="22"/>
      <w:lang w:val="id" w:eastAsia="en-US" w:bidi="ar-SA"/>
    </w:rPr>
  </w:style>
  <w:style w:type="paragraph" w:customStyle="1" w:styleId="82">
    <w:name w:val="Free Form B"/>
    <w:qFormat/>
    <w:uiPriority w:val="0"/>
    <w:pPr>
      <w:suppressAutoHyphens/>
      <w:spacing w:after="200" w:line="1" w:lineRule="atLeast"/>
      <w:ind w:left="-1" w:leftChars="-1" w:hanging="1" w:hangingChars="1"/>
      <w:textAlignment w:val="top"/>
      <w:outlineLvl w:val="0"/>
    </w:pPr>
    <w:rPr>
      <w:rFonts w:ascii="Times New Roman" w:hAnsi="Times New Roman" w:cs="Times New Roman" w:eastAsiaTheme="minorEastAsia"/>
      <w:color w:val="000000"/>
      <w:position w:val="-1"/>
      <w:sz w:val="22"/>
      <w:szCs w:val="22"/>
      <w:lang w:val="id" w:eastAsia="en-US" w:bidi="ar-SA"/>
    </w:rPr>
  </w:style>
  <w:style w:type="paragraph" w:customStyle="1" w:styleId="83">
    <w:name w:val="Free Form B A"/>
    <w:qFormat/>
    <w:uiPriority w:val="0"/>
    <w:pPr>
      <w:suppressAutoHyphens/>
      <w:spacing w:after="200" w:line="1" w:lineRule="atLeast"/>
      <w:ind w:left="-1" w:leftChars="-1" w:hanging="1" w:hangingChars="1"/>
      <w:textAlignment w:val="top"/>
      <w:outlineLvl w:val="0"/>
    </w:pPr>
    <w:rPr>
      <w:rFonts w:ascii="Times New Roman" w:hAnsi="Times New Roman" w:eastAsia="ヒラギノ角ゴ Pro W3" w:cs="Times New Roman"/>
      <w:color w:val="000000"/>
      <w:position w:val="-1"/>
      <w:sz w:val="22"/>
      <w:szCs w:val="22"/>
      <w:lang w:val="id" w:eastAsia="en-US" w:bidi="ar-SA"/>
    </w:rPr>
  </w:style>
  <w:style w:type="paragraph" w:customStyle="1" w:styleId="84">
    <w:name w:val="Free Form B A A"/>
    <w:qFormat/>
    <w:uiPriority w:val="0"/>
    <w:pPr>
      <w:suppressAutoHyphens/>
      <w:spacing w:after="200" w:line="1" w:lineRule="atLeast"/>
      <w:ind w:left="-1" w:leftChars="-1" w:hanging="1" w:hangingChars="1"/>
      <w:textAlignment w:val="top"/>
      <w:outlineLvl w:val="0"/>
    </w:pPr>
    <w:rPr>
      <w:rFonts w:ascii="Times New Roman" w:hAnsi="Times New Roman" w:eastAsia="ヒラギノ角ゴ Pro W3" w:cs="Times New Roman"/>
      <w:color w:val="000000"/>
      <w:position w:val="-1"/>
      <w:sz w:val="22"/>
      <w:szCs w:val="22"/>
      <w:lang w:val="id" w:eastAsia="en-US" w:bidi="ar-SA"/>
    </w:rPr>
  </w:style>
  <w:style w:type="paragraph" w:customStyle="1" w:styleId="85">
    <w:name w:val="Free Form B A A A"/>
    <w:qFormat/>
    <w:uiPriority w:val="0"/>
    <w:pPr>
      <w:suppressAutoHyphens/>
      <w:spacing w:after="200" w:line="1" w:lineRule="atLeast"/>
      <w:ind w:left="-1" w:leftChars="-1" w:hanging="1" w:hangingChars="1"/>
      <w:textAlignment w:val="top"/>
      <w:outlineLvl w:val="0"/>
    </w:pPr>
    <w:rPr>
      <w:rFonts w:ascii="Times New Roman" w:hAnsi="Times New Roman" w:eastAsia="ヒラギノ角ゴ Pro W3" w:cs="Times New Roman"/>
      <w:color w:val="000000"/>
      <w:position w:val="-1"/>
      <w:sz w:val="22"/>
      <w:szCs w:val="22"/>
      <w:lang w:val="id" w:eastAsia="en-US" w:bidi="ar-SA"/>
    </w:rPr>
  </w:style>
  <w:style w:type="paragraph" w:customStyle="1" w:styleId="86">
    <w:name w:val="Free Form B A A A A"/>
    <w:qFormat/>
    <w:uiPriority w:val="0"/>
    <w:pPr>
      <w:suppressAutoHyphens/>
      <w:spacing w:after="200" w:line="1" w:lineRule="atLeast"/>
      <w:ind w:left="-1" w:leftChars="-1" w:hanging="1" w:hangingChars="1"/>
      <w:textAlignment w:val="top"/>
      <w:outlineLvl w:val="0"/>
    </w:pPr>
    <w:rPr>
      <w:rFonts w:ascii="Times New Roman" w:hAnsi="Times New Roman" w:eastAsia="ヒラギノ角ゴ Pro W3" w:cs="Times New Roman"/>
      <w:color w:val="000000"/>
      <w:position w:val="-1"/>
      <w:sz w:val="22"/>
      <w:szCs w:val="22"/>
      <w:lang w:val="id" w:eastAsia="en-US" w:bidi="ar-SA"/>
    </w:rPr>
  </w:style>
  <w:style w:type="paragraph" w:customStyle="1" w:styleId="87">
    <w:name w:val="Free Form B A A A A A"/>
    <w:qFormat/>
    <w:uiPriority w:val="0"/>
    <w:pPr>
      <w:suppressAutoHyphens/>
      <w:spacing w:after="200" w:line="1" w:lineRule="atLeast"/>
      <w:ind w:left="-1" w:leftChars="-1" w:hanging="1" w:hangingChars="1"/>
      <w:textAlignment w:val="top"/>
      <w:outlineLvl w:val="0"/>
    </w:pPr>
    <w:rPr>
      <w:rFonts w:ascii="Times New Roman" w:hAnsi="Times New Roman" w:eastAsia="ヒラギノ角ゴ Pro W3" w:cs="Times New Roman"/>
      <w:color w:val="000000"/>
      <w:position w:val="-1"/>
      <w:sz w:val="22"/>
      <w:szCs w:val="22"/>
      <w:lang w:val="id" w:eastAsia="en-US" w:bidi="ar-SA"/>
    </w:rPr>
  </w:style>
  <w:style w:type="paragraph" w:customStyle="1" w:styleId="88">
    <w:name w:val="Free Form B A A A A A A"/>
    <w:qFormat/>
    <w:uiPriority w:val="0"/>
    <w:pPr>
      <w:suppressAutoHyphens/>
      <w:spacing w:after="200" w:line="1" w:lineRule="atLeast"/>
      <w:ind w:left="-1" w:leftChars="-1" w:hanging="1" w:hangingChars="1"/>
      <w:textAlignment w:val="top"/>
      <w:outlineLvl w:val="0"/>
    </w:pPr>
    <w:rPr>
      <w:rFonts w:ascii="Times New Roman" w:hAnsi="Times New Roman" w:eastAsia="ヒラギノ角ゴ Pro W3" w:cs="Times New Roman"/>
      <w:color w:val="000000"/>
      <w:position w:val="-1"/>
      <w:sz w:val="22"/>
      <w:szCs w:val="22"/>
      <w:lang w:val="id" w:eastAsia="en-US" w:bidi="ar-SA"/>
    </w:rPr>
  </w:style>
  <w:style w:type="table" w:customStyle="1" w:styleId="89">
    <w:name w:val="Table Grid2"/>
    <w:basedOn w:val="9"/>
    <w:qFormat/>
    <w:uiPriority w:val="0"/>
    <w:pPr>
      <w:suppressAutoHyphens/>
      <w:spacing w:line="1" w:lineRule="atLeast"/>
      <w:ind w:left="-1" w:leftChars="-1" w:hanging="1" w:hangingChars="1"/>
      <w:textAlignment w:val="top"/>
      <w:outlineLvl w:val="0"/>
    </w:pPr>
    <w:rPr>
      <w:position w:val="-1"/>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0">
    <w:name w:val="a-plus-plus"/>
    <w:basedOn w:val="1"/>
    <w:qFormat/>
    <w:uiPriority w:val="0"/>
    <w:pPr>
      <w:spacing w:before="100" w:beforeAutospacing="1" w:after="100" w:afterAutospacing="1" w:line="240" w:lineRule="auto"/>
    </w:pPr>
    <w:rPr>
      <w:sz w:val="24"/>
      <w:szCs w:val="24"/>
      <w:lang w:val="en-US"/>
    </w:rPr>
  </w:style>
  <w:style w:type="character" w:customStyle="1" w:styleId="91">
    <w:name w:val="look-inside-badge"/>
    <w:basedOn w:val="8"/>
    <w:qFormat/>
    <w:uiPriority w:val="0"/>
    <w:rPr>
      <w:w w:val="100"/>
      <w:position w:val="-1"/>
      <w:vertAlign w:val="baseline"/>
      <w:cs w:val="0"/>
    </w:rPr>
  </w:style>
  <w:style w:type="character" w:styleId="92">
    <w:name w:val="Placeholder Text"/>
    <w:qFormat/>
    <w:uiPriority w:val="0"/>
    <w:rPr>
      <w:color w:val="808080"/>
      <w:w w:val="100"/>
      <w:position w:val="-1"/>
      <w:vertAlign w:val="baseline"/>
      <w:cs w:val="0"/>
    </w:rPr>
  </w:style>
  <w:style w:type="paragraph" w:customStyle="1" w:styleId="93">
    <w:name w:val="Table Paragraph"/>
    <w:basedOn w:val="1"/>
    <w:qFormat/>
    <w:uiPriority w:val="0"/>
    <w:pPr>
      <w:widowControl w:val="0"/>
      <w:autoSpaceDE w:val="0"/>
      <w:autoSpaceDN w:val="0"/>
      <w:spacing w:after="0" w:line="240" w:lineRule="auto"/>
    </w:pPr>
    <w:rPr>
      <w:lang w:val="en-US"/>
    </w:rPr>
  </w:style>
  <w:style w:type="table" w:customStyle="1" w:styleId="94">
    <w:name w:val="_Style 91"/>
    <w:basedOn w:val="9"/>
    <w:qFormat/>
    <w:uiPriority w:val="0"/>
  </w:style>
  <w:style w:type="character" w:customStyle="1" w:styleId="95">
    <w:name w:val="Unresolved Mention1"/>
    <w:basedOn w:val="8"/>
    <w:semiHidden/>
    <w:unhideWhenUsed/>
    <w:qFormat/>
    <w:uiPriority w:val="99"/>
    <w:rPr>
      <w:color w:val="605E5C"/>
      <w:shd w:val="clear" w:color="auto" w:fill="E1DFDD"/>
    </w:rPr>
  </w:style>
  <w:style w:type="table" w:customStyle="1" w:styleId="96">
    <w:name w:val="_Style 94"/>
    <w:basedOn w:val="9"/>
    <w:qFormat/>
    <w:uiPriority w:val="0"/>
  </w:style>
  <w:style w:type="character" w:customStyle="1" w:styleId="97">
    <w:name w:val="HTML Preformatted Char"/>
    <w:basedOn w:val="8"/>
    <w:link w:val="21"/>
    <w:semiHidden/>
    <w:qFormat/>
    <w:uiPriority w:val="99"/>
    <w:rPr>
      <w:rFonts w:ascii="Consolas" w:hAnsi="Consolas"/>
      <w:sz w:val="20"/>
      <w:szCs w:val="20"/>
    </w:rPr>
  </w:style>
  <w:style w:type="character" w:customStyle="1" w:styleId="98">
    <w:name w:val="Unresolved Mention2"/>
    <w:basedOn w:val="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customXml" Target="../customXml/item3.xml"/><Relationship Id="rId27" Type="http://schemas.openxmlformats.org/officeDocument/2006/relationships/customXml" Target="../customXml/item2.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jpe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BzK70tsp3pDVRLyR1gzjDDmT5g==">CgMxLjAyCWguMzBqMHpsbDIJaC4xZm9iOXRlMgloLjN6bnlzaDcyCWguMmV0OTJwMDgAciExT1lQcF9qLXBfVV90QzdBdWVzOEM4aGNhaUV3VzhKTTI=</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datastoreItem>
</file>

<file path=customXml/itemProps3.xml><?xml version="1.0" encoding="utf-8"?>
<ds:datastoreItem xmlns:ds="http://schemas.openxmlformats.org/officeDocument/2006/customXml" ds:itemID="{774EB545-F8D8-494E-A77F-7A43DDBAFBD6}">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4673</Words>
  <Characters>28988</Characters>
  <Lines>824</Lines>
  <Paragraphs>232</Paragraphs>
  <TotalTime>1</TotalTime>
  <ScaleCrop>false</ScaleCrop>
  <LinksUpToDate>false</LinksUpToDate>
  <CharactersWithSpaces>33599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2026-01-04T07:13:00Z</dcterms:created>
  <dc:creator>kania</dc:creator>
  <cp:lastModifiedBy>HP</cp:lastModifiedBy>
  <cp:lastPrinted>2025-11-28T08:17:00Z</cp:lastPrinted>
  <dcterms:modified xsi:type="dcterms:W3CDTF">2026-10-09T12:35:19Z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6C851810B34F47D586AA61B9C89AF153_13</vt:lpwstr>
  </property>
  <property fmtid="{D5CDD505-2E9C-101B-9397-08002B2CF9AE}" pid="4" name="Mendeley Document_1">
    <vt:lpwstr>True</vt:lpwstr>
  </property>
  <property fmtid="{D5CDD505-2E9C-101B-9397-08002B2CF9AE}" pid="5" name="Mendeley Unique User Id_1">
    <vt:lpwstr>b046dfcc-1e85-394a-8d5c-995a6df5c731</vt:lpwstr>
  </property>
  <property fmtid="{D5CDD505-2E9C-101B-9397-08002B2CF9AE}" pid="6" name="Mendeley Citation Style_1">
    <vt:lpwstr>http://www.zotero.org/styles/apa</vt:lpwstr>
  </property>
  <property fmtid="{D5CDD505-2E9C-101B-9397-08002B2CF9AE}" pid="7" name="Mendeley Recent Style Id 0_1">
    <vt:lpwstr>http://www.zotero.org/styles/american-political-science-association</vt:lpwstr>
  </property>
  <property fmtid="{D5CDD505-2E9C-101B-9397-08002B2CF9AE}" pid="8" name="Mendeley Recent Style Name 0_1">
    <vt:lpwstr>American Political Science Association</vt:lpwstr>
  </property>
  <property fmtid="{D5CDD505-2E9C-101B-9397-08002B2CF9AE}" pid="9" name="Mendeley Recent Style Id 1_1">
    <vt:lpwstr>http://www.zotero.org/styles/apa</vt:lpwstr>
  </property>
  <property fmtid="{D5CDD505-2E9C-101B-9397-08002B2CF9AE}" pid="10" name="Mendeley Recent Style Name 1_1">
    <vt:lpwstr>American Psychological Association 7th edition</vt:lpwstr>
  </property>
  <property fmtid="{D5CDD505-2E9C-101B-9397-08002B2CF9AE}" pid="11" name="Mendeley Recent Style Id 2_1">
    <vt:lpwstr>http://www.zotero.org/styles/american-sociological-association</vt:lpwstr>
  </property>
  <property fmtid="{D5CDD505-2E9C-101B-9397-08002B2CF9AE}" pid="12" name="Mendeley Recent Style Name 2_1">
    <vt:lpwstr>American Sociological Association 6th/7th edition</vt:lpwstr>
  </property>
  <property fmtid="{D5CDD505-2E9C-101B-9397-08002B2CF9AE}" pid="13" name="Mendeley Recent Style Id 3_1">
    <vt:lpwstr>http://www.zotero.org/styles/chicago-author-date</vt:lpwstr>
  </property>
  <property fmtid="{D5CDD505-2E9C-101B-9397-08002B2CF9AE}" pid="14" name="Mendeley Recent Style Name 3_1">
    <vt:lpwstr>Chicago Manual of Style 18th edition (author-date)</vt:lpwstr>
  </property>
  <property fmtid="{D5CDD505-2E9C-101B-9397-08002B2CF9AE}" pid="15" name="Mendeley Recent Style Id 4_1">
    <vt:lpwstr>http://www.zotero.org/styles/harvard-cite-them-right</vt:lpwstr>
  </property>
  <property fmtid="{D5CDD505-2E9C-101B-9397-08002B2CF9AE}" pid="16" name="Mendeley Recent Style Name 4_1">
    <vt:lpwstr>Cite Them Right 12th edition - Harvard</vt:lpwstr>
  </property>
  <property fmtid="{D5CDD505-2E9C-101B-9397-08002B2CF9AE}" pid="17" name="Mendeley Recent Style Id 5_1">
    <vt:lpwstr>http://www.zotero.org/styles/ieee</vt:lpwstr>
  </property>
  <property fmtid="{D5CDD505-2E9C-101B-9397-08002B2CF9AE}" pid="18" name="Mendeley Recent Style Name 5_1">
    <vt:lpwstr>IEEE</vt:lpwstr>
  </property>
  <property fmtid="{D5CDD505-2E9C-101B-9397-08002B2CF9AE}" pid="19" name="Mendeley Recent Style Id 6_1">
    <vt:lpwstr>http://www.zotero.org/styles/institut-pertanian-bogor</vt:lpwstr>
  </property>
  <property fmtid="{D5CDD505-2E9C-101B-9397-08002B2CF9AE}" pid="20" name="Mendeley Recent Style Name 6_1">
    <vt:lpwstr>Institut Pertanian Bogor: Pedoman Penulisan Karya Ilmiah Edisi ke-4 (Indonesian)</vt:lpwstr>
  </property>
  <property fmtid="{D5CDD505-2E9C-101B-9397-08002B2CF9AE}" pid="21" name="Mendeley Recent Style Id 7_1">
    <vt:lpwstr>http://www.zotero.org/styles/modern-humanities-research-association</vt:lpwstr>
  </property>
  <property fmtid="{D5CDD505-2E9C-101B-9397-08002B2CF9AE}" pid="22" name="Mendeley Recent Style Name 7_1">
    <vt:lpwstr>Modern Humanities Research Association 3rd edition (note with bibliography)</vt:lpwstr>
  </property>
  <property fmtid="{D5CDD505-2E9C-101B-9397-08002B2CF9AE}" pid="23" name="Mendeley Recent Style Id 8_1">
    <vt:lpwstr>http://www.zotero.org/styles/modern-language-association</vt:lpwstr>
  </property>
  <property fmtid="{D5CDD505-2E9C-101B-9397-08002B2CF9AE}" pid="24" name="Mendeley Recent Style Name 8_1">
    <vt:lpwstr>Modern Language Association 9th edition (in-text citations)</vt:lpwstr>
  </property>
  <property fmtid="{D5CDD505-2E9C-101B-9397-08002B2CF9AE}" pid="25" name="Mendeley Recent Style Id 9_1">
    <vt:lpwstr>http://www.zotero.org/styles/nature</vt:lpwstr>
  </property>
  <property fmtid="{D5CDD505-2E9C-101B-9397-08002B2CF9AE}" pid="26" name="Mendeley Recent Style Name 9_1">
    <vt:lpwstr>Nature</vt:lpwstr>
  </property>
  <property fmtid="{D5CDD505-2E9C-101B-9397-08002B2CF9AE}" pid="27" name="KSOTemplateDocerSaveRecord">
    <vt:lpwstr>eyJoZGlkIjoiZjlhYTJjODhmNDUyMWRhZDBmOThmMmFlOWFhNjIwZmUiLCJ1c2VySWQiOiI5Nzk2MTk4OTYzODcifQ==</vt:lpwstr>
  </property>
</Properties>
</file>